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34" coordsize="21600,21600" o:oned="t" filled="f" o:spt="34.0" adj="10800" path="m,l@0,0@0,21600,21600,21600e">
            <v:stroke joinstyle="miter"/>
            <v:formulas>
              <v:f eqn="val #0"/>
            </v:formulas>
            <v:path arrowok="t" o:connecttype="none" fillok="f"/>
            <v:handles/>
            <o:lock v:ext="edit" shapetype="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rPr>
          <w:color w:val="009999"/>
          <w:sz w:val="20"/>
          <w:szCs w:val="20"/>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rPr>
          <w:color w:val="009999"/>
          <w:sz w:val="20"/>
          <w:szCs w:val="20"/>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ind w:left="1951" w:firstLine="0"/>
        <w:rPr>
          <w:color w:val="009999"/>
          <w:sz w:val="20"/>
          <w:szCs w:val="20"/>
        </w:rPr>
      </w:pP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ind w:left="1951" w:firstLine="0"/>
        <w:rPr>
          <w:color w:val="009999"/>
          <w:sz w:val="20"/>
          <w:szCs w:val="20"/>
        </w:rPr>
      </w:pP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ind w:left="1951" w:firstLine="0"/>
        <w:rPr>
          <w:color w:val="009999"/>
          <w:sz w:val="20"/>
          <w:szCs w:val="20"/>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ind w:left="1951" w:firstLine="0"/>
        <w:rPr>
          <w:color w:val="009999"/>
          <w:sz w:val="20"/>
          <w:szCs w:val="20"/>
        </w:rPr>
      </w:pPr>
      <w:r w:rsidDel="00000000" w:rsidR="00000000" w:rsidRPr="00000000">
        <w:rPr>
          <w:rtl w:val="0"/>
        </w:rPr>
      </w:r>
    </w:p>
    <w:p w:rsidR="00000000" w:rsidDel="00000000" w:rsidP="00000000" w:rsidRDefault="00000000" w:rsidRPr="00000000" w14:paraId="0000000E">
      <w:pPr>
        <w:spacing w:after="180" w:before="120" w:lineRule="auto"/>
        <w:jc w:val="center"/>
        <w:rPr>
          <w:color w:val="000000"/>
          <w:sz w:val="40"/>
          <w:szCs w:val="40"/>
        </w:rPr>
      </w:pPr>
      <w:bookmarkStart w:colFirst="0" w:colLast="0" w:name="_heading=h.3dy6vkm" w:id="0"/>
      <w:bookmarkEnd w:id="0"/>
      <w:r w:rsidDel="00000000" w:rsidR="00000000" w:rsidRPr="00000000">
        <w:rPr>
          <w:color w:val="000000"/>
          <w:sz w:val="40"/>
          <w:szCs w:val="40"/>
          <w:rtl w:val="0"/>
        </w:rPr>
        <w:t xml:space="preserve">ANEXO A: </w:t>
      </w:r>
    </w:p>
    <w:p w:rsidR="00000000" w:rsidDel="00000000" w:rsidP="00000000" w:rsidRDefault="00000000" w:rsidRPr="00000000" w14:paraId="0000000F">
      <w:pPr>
        <w:jc w:val="center"/>
        <w:rPr>
          <w:color w:val="000000"/>
          <w:sz w:val="40"/>
          <w:szCs w:val="40"/>
        </w:rPr>
      </w:pPr>
      <w:r w:rsidDel="00000000" w:rsidR="00000000" w:rsidRPr="00000000">
        <w:rPr>
          <w:color w:val="000000"/>
          <w:sz w:val="40"/>
          <w:szCs w:val="40"/>
          <w:rtl w:val="0"/>
        </w:rPr>
        <w:t xml:space="preserve">RESPUESTA OBSERVACIONES </w:t>
      </w:r>
    </w:p>
    <w:p w:rsidR="00000000" w:rsidDel="00000000" w:rsidP="00000000" w:rsidRDefault="00000000" w:rsidRPr="00000000" w14:paraId="00000010">
      <w:pPr>
        <w:jc w:val="center"/>
        <w:rPr>
          <w:color w:val="000000"/>
          <w:sz w:val="40"/>
          <w:szCs w:val="40"/>
        </w:rPr>
      </w:pPr>
      <w:r w:rsidDel="00000000" w:rsidR="00000000" w:rsidRPr="00000000">
        <w:rPr>
          <w:color w:val="000000"/>
          <w:sz w:val="40"/>
          <w:szCs w:val="40"/>
          <w:rtl w:val="0"/>
        </w:rPr>
        <w:t xml:space="preserve">RESOLUCIÓN EXENTA N° 3/ ROL A-002-2022</w:t>
      </w:r>
    </w:p>
    <w:p w:rsidR="00000000" w:rsidDel="00000000" w:rsidP="00000000" w:rsidRDefault="00000000" w:rsidRPr="00000000" w14:paraId="00000011">
      <w:pPr>
        <w:spacing w:after="180" w:before="120" w:lineRule="auto"/>
        <w:jc w:val="center"/>
        <w:rPr>
          <w:color w:val="000000"/>
          <w:sz w:val="40"/>
          <w:szCs w:val="40"/>
        </w:rPr>
      </w:pPr>
      <w:r w:rsidDel="00000000" w:rsidR="00000000" w:rsidRPr="00000000">
        <w:rPr>
          <w:rtl w:val="0"/>
        </w:rPr>
      </w:r>
    </w:p>
    <w:p w:rsidR="00000000" w:rsidDel="00000000" w:rsidP="00000000" w:rsidRDefault="00000000" w:rsidRPr="00000000" w14:paraId="00000012">
      <w:pPr>
        <w:spacing w:after="180" w:before="120" w:lineRule="auto"/>
        <w:jc w:val="center"/>
        <w:rPr>
          <w:color w:val="000000"/>
          <w:sz w:val="40"/>
          <w:szCs w:val="40"/>
        </w:rPr>
      </w:pPr>
      <w:r w:rsidDel="00000000" w:rsidR="00000000" w:rsidRPr="00000000">
        <w:rPr>
          <w:color w:val="000000"/>
          <w:sz w:val="40"/>
          <w:szCs w:val="40"/>
          <w:rtl w:val="0"/>
        </w:rPr>
        <w:t xml:space="preserve">VIÑA UNDURRAGA</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1308100</wp:posOffset>
                </wp:positionH>
                <wp:positionV relativeFrom="paragraph">
                  <wp:posOffset>0</wp:posOffset>
                </wp:positionV>
                <wp:extent cx="7549515" cy="7496175"/>
                <wp:effectExtent b="0" l="0" r="0" t="0"/>
                <wp:wrapNone/>
                <wp:docPr id="53" name=""/>
                <a:graphic>
                  <a:graphicData uri="http://schemas.microsoft.com/office/word/2010/wordprocessingShape">
                    <wps:wsp>
                      <wps:cNvSpPr/>
                      <wps:cNvPr id="2" name="Shape 2"/>
                      <wps:spPr>
                        <a:xfrm>
                          <a:off x="1595055" y="55725"/>
                          <a:ext cx="7501890" cy="7448550"/>
                        </a:xfrm>
                        <a:prstGeom prst="rect">
                          <a:avLst/>
                        </a:prstGeom>
                        <a:blipFill rotWithShape="1">
                          <a:blip r:embed="rId7">
                            <a:alphaModFix amt="20000"/>
                          </a:blip>
                          <a:stretch>
                            <a:fillRect b="0" l="0" r="0" t="0"/>
                          </a:stretch>
                        </a:blip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1308100</wp:posOffset>
                </wp:positionH>
                <wp:positionV relativeFrom="paragraph">
                  <wp:posOffset>0</wp:posOffset>
                </wp:positionV>
                <wp:extent cx="7549515" cy="7496175"/>
                <wp:effectExtent b="0" l="0" r="0" t="0"/>
                <wp:wrapNone/>
                <wp:docPr id="53"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7549515" cy="7496175"/>
                        </a:xfrm>
                        <a:prstGeom prst="rect"/>
                        <a:ln/>
                      </pic:spPr>
                    </pic:pic>
                  </a:graphicData>
                </a:graphic>
              </wp:anchor>
            </w:drawing>
          </mc:Fallback>
        </mc:AlternateContent>
      </w:r>
    </w:p>
    <w:p w:rsidR="00000000" w:rsidDel="00000000" w:rsidP="00000000" w:rsidRDefault="00000000" w:rsidRPr="00000000" w14:paraId="00000013">
      <w:pPr>
        <w:spacing w:after="180" w:before="120" w:lineRule="auto"/>
        <w:jc w:val="center"/>
        <w:rPr>
          <w:color w:val="000000"/>
          <w:sz w:val="40"/>
          <w:szCs w:val="40"/>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ind w:left="1951" w:firstLine="0"/>
        <w:jc w:val="both"/>
        <w:rPr>
          <w:color w:val="000000"/>
          <w:sz w:val="20"/>
          <w:szCs w:val="20"/>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ind w:left="1951" w:firstLine="0"/>
        <w:jc w:val="both"/>
        <w:rPr>
          <w:color w:val="000000"/>
          <w:sz w:val="20"/>
          <w:szCs w:val="20"/>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ind w:left="1951" w:firstLine="0"/>
        <w:jc w:val="both"/>
        <w:rPr>
          <w:color w:val="000000"/>
          <w:sz w:val="20"/>
          <w:szCs w:val="20"/>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ind w:left="1951" w:firstLine="0"/>
        <w:jc w:val="both"/>
        <w:rPr>
          <w:color w:val="000000"/>
          <w:sz w:val="20"/>
          <w:szCs w:val="20"/>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ind w:left="1951" w:firstLine="0"/>
        <w:jc w:val="both"/>
        <w:rPr>
          <w:color w:val="000000"/>
          <w:sz w:val="20"/>
          <w:szCs w:val="20"/>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ind w:left="1951" w:firstLine="0"/>
        <w:jc w:val="both"/>
        <w:rPr>
          <w:color w:val="000000"/>
          <w:sz w:val="20"/>
          <w:szCs w:val="20"/>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01E">
      <w:pPr>
        <w:widowControl w:val="0"/>
        <w:numPr>
          <w:ilvl w:val="0"/>
          <w:numId w:val="17"/>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INTRODUCCIÓN</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ind w:left="720" w:firstLine="0"/>
        <w:jc w:val="both"/>
        <w:rPr>
          <w:color w:val="000000"/>
        </w:rPr>
      </w:pPr>
      <w:r w:rsidDel="00000000" w:rsidR="00000000" w:rsidRPr="00000000">
        <w:rPr>
          <w:rtl w:val="0"/>
        </w:rPr>
      </w:r>
    </w:p>
    <w:p w:rsidR="00000000" w:rsidDel="00000000" w:rsidP="00000000" w:rsidRDefault="00000000" w:rsidRPr="00000000" w14:paraId="00000020">
      <w:pPr>
        <w:spacing w:after="160" w:lineRule="auto"/>
        <w:jc w:val="both"/>
        <w:rPr>
          <w:b w:val="0"/>
          <w:color w:val="000000"/>
        </w:rPr>
      </w:pPr>
      <w:r w:rsidDel="00000000" w:rsidR="00000000" w:rsidRPr="00000000">
        <w:rPr>
          <w:b w:val="0"/>
          <w:color w:val="000000"/>
          <w:rtl w:val="0"/>
        </w:rPr>
        <w:t xml:space="preserve">Mediante la presente minuta se da respuesta a las observaciones formuladas por la Superintendencia del Medio Ambiente (SMA)mediante la Res. Ex. N°3/Rol A-002-2022 del 27 de septiembre de 2022 a la primera versión del Programa de Cumplimiento presentado por Viña Undurraga presentado con fecha 30 de junio de 2022.</w:t>
      </w:r>
    </w:p>
    <w:p w:rsidR="00000000" w:rsidDel="00000000" w:rsidP="00000000" w:rsidRDefault="00000000" w:rsidRPr="00000000" w14:paraId="00000021">
      <w:pPr>
        <w:spacing w:after="160" w:lineRule="auto"/>
        <w:jc w:val="both"/>
        <w:rPr>
          <w:b w:val="0"/>
          <w:color w:val="000000"/>
        </w:rPr>
      </w:pPr>
      <w:r w:rsidDel="00000000" w:rsidR="00000000" w:rsidRPr="00000000">
        <w:rPr>
          <w:b w:val="0"/>
          <w:color w:val="000000"/>
          <w:rtl w:val="0"/>
        </w:rPr>
        <w:t xml:space="preserve">Junto con dar respuesta a la SMA, Viña Undurraga propone hacerse cargo de los hechos infraccionales contenidos en la Res. Ex. N°1/Rol A-002-2022 y Res. Ex. N°3/Rol A-002-2022, para lo cual presenta una segunda versión actualizada del programa de cumplimiento, denominado “Programa de Cumplimiento Refundido”. </w:t>
      </w:r>
    </w:p>
    <w:p w:rsidR="00000000" w:rsidDel="00000000" w:rsidP="00000000" w:rsidRDefault="00000000" w:rsidRPr="00000000" w14:paraId="00000022">
      <w:pPr>
        <w:spacing w:after="160" w:lineRule="auto"/>
        <w:jc w:val="both"/>
        <w:rPr>
          <w:b w:val="0"/>
          <w:color w:val="000000"/>
        </w:rPr>
      </w:pPr>
      <w:r w:rsidDel="00000000" w:rsidR="00000000" w:rsidRPr="00000000">
        <w:rPr>
          <w:rtl w:val="0"/>
        </w:rPr>
      </w:r>
    </w:p>
    <w:p w:rsidR="00000000" w:rsidDel="00000000" w:rsidP="00000000" w:rsidRDefault="00000000" w:rsidRPr="00000000" w14:paraId="00000023">
      <w:pPr>
        <w:widowControl w:val="0"/>
        <w:numPr>
          <w:ilvl w:val="0"/>
          <w:numId w:val="17"/>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RESPUESTAS</w:t>
      </w:r>
    </w:p>
    <w:p w:rsidR="00000000" w:rsidDel="00000000" w:rsidP="00000000" w:rsidRDefault="00000000" w:rsidRPr="00000000" w14:paraId="00000024">
      <w:pPr>
        <w:spacing w:after="160" w:lineRule="auto"/>
        <w:jc w:val="both"/>
        <w:rPr>
          <w:b w:val="0"/>
          <w:color w:val="000000"/>
        </w:rPr>
      </w:pPr>
      <w:r w:rsidDel="00000000" w:rsidR="00000000" w:rsidRPr="00000000">
        <w:rPr>
          <w:rtl w:val="0"/>
        </w:rPr>
      </w:r>
    </w:p>
    <w:p w:rsidR="00000000" w:rsidDel="00000000" w:rsidP="00000000" w:rsidRDefault="00000000" w:rsidRPr="00000000" w14:paraId="00000025">
      <w:pPr>
        <w:spacing w:after="160" w:lineRule="auto"/>
        <w:jc w:val="both"/>
        <w:rPr>
          <w:b w:val="0"/>
          <w:color w:val="000000"/>
        </w:rPr>
      </w:pPr>
      <w:r w:rsidDel="00000000" w:rsidR="00000000" w:rsidRPr="00000000">
        <w:rPr>
          <w:b w:val="0"/>
          <w:color w:val="000000"/>
          <w:rtl w:val="0"/>
        </w:rPr>
        <w:t xml:space="preserve">A continuación, se entregan las respuestas a las preguntas y/u observaciones de la autoridad ambiental.</w:t>
      </w:r>
    </w:p>
    <w:p w:rsidR="00000000" w:rsidDel="00000000" w:rsidP="00000000" w:rsidRDefault="00000000" w:rsidRPr="00000000" w14:paraId="00000026">
      <w:pPr>
        <w:spacing w:after="160" w:lineRule="auto"/>
        <w:jc w:val="both"/>
        <w:rPr>
          <w:b w:val="0"/>
          <w:color w:val="00000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Observaciones relativas a la descripción de efectos del Cargo N°1</w:t>
      </w:r>
    </w:p>
    <w:p w:rsidR="00000000" w:rsidDel="00000000" w:rsidP="00000000" w:rsidRDefault="00000000" w:rsidRPr="00000000" w14:paraId="00000028">
      <w:pPr>
        <w:spacing w:after="160" w:lineRule="auto"/>
        <w:jc w:val="both"/>
        <w:rPr>
          <w:color w:val="000000"/>
        </w:rPr>
      </w:pPr>
      <w:r w:rsidDel="00000000" w:rsidR="00000000" w:rsidRPr="00000000">
        <w:rPr>
          <w:color w:val="000000"/>
          <w:rtl w:val="0"/>
        </w:rPr>
        <w:t xml:space="preserve">Cargo N°1” destinar a riego un caudal de Riles superior a 420 m</w:t>
      </w:r>
      <w:r w:rsidDel="00000000" w:rsidR="00000000" w:rsidRPr="00000000">
        <w:rPr>
          <w:color w:val="000000"/>
          <w:vertAlign w:val="superscript"/>
          <w:rtl w:val="0"/>
        </w:rPr>
        <w:t xml:space="preserve">3</w:t>
      </w:r>
      <w:r w:rsidDel="00000000" w:rsidR="00000000" w:rsidRPr="00000000">
        <w:rPr>
          <w:color w:val="000000"/>
          <w:rtl w:val="0"/>
        </w:rPr>
        <w:t xml:space="preserve">/día</w:t>
      </w:r>
    </w:p>
    <w:p w:rsidR="00000000" w:rsidDel="00000000" w:rsidP="00000000" w:rsidRDefault="00000000" w:rsidRPr="00000000" w14:paraId="0000002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Tabla planilla de caudales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El informe efectúa una revisión de los caudales que, según la formulación de cargo (en base a lo señalado en la autodenuncia), habrían excedido los 420 m</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superscript"/>
          <w:rtl w:val="0"/>
        </w:rPr>
        <w:t xml:space="preserve">3</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/días autorizados por la RCA, indicando que ellas corresponden a errores de registro. Sin embargo, esta aseveración no se encuentra suficientemente fundada en varias de las fechas donde se constataron registros. A saber, en la Tabla 1 de este anexo se hace una revisión de las distintas excedencias y, en varios casos, simplemente se indica "Posible error de registro" o "Posible error de toma de datos" como explicación, sin acompañar comprobantes ni una explicación más detallada para verificar la veracidad de este análisis. Más en concreto, dentro de la misma Tabla 1, también se señala como explicación para la excedencia de 13 de marzo de 2021, "Posible dato acumulado, durante tres días consecutivos". Sin embargo, la revisión de la tabla "Planilla Caudales Riles" acompañada el 6 de diciembre en el procedimiento de autodenuncia, da cuenta que los días anteriores a la fecha señalada sí existieron registros.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Por lo tanto, el titular debe complementar la fundamentación de los supuestos errores de registro, acompañando comprobantes que así lo permitan afirmar. En caso de no contar con dichos comprobantes, se solicita considerar las excedencias que fueron imputadas en la formulación de cargos dentro del análisis de efectos, eliminando esta fundamentación del anexo.</w:t>
      </w:r>
    </w:p>
    <w:p w:rsidR="00000000" w:rsidDel="00000000" w:rsidP="00000000" w:rsidRDefault="00000000" w:rsidRPr="00000000" w14:paraId="0000002C">
      <w:pPr>
        <w:spacing w:after="160" w:lineRule="auto"/>
        <w:jc w:val="both"/>
        <w:rPr>
          <w:color w:val="000000"/>
        </w:rPr>
      </w:pPr>
      <w:r w:rsidDel="00000000" w:rsidR="00000000" w:rsidRPr="00000000">
        <w:rPr>
          <w:rtl w:val="0"/>
        </w:rPr>
      </w:r>
    </w:p>
    <w:p w:rsidR="00000000" w:rsidDel="00000000" w:rsidP="00000000" w:rsidRDefault="00000000" w:rsidRPr="00000000" w14:paraId="0000002D">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2E">
      <w:pPr>
        <w:spacing w:after="160" w:lineRule="auto"/>
        <w:jc w:val="both"/>
        <w:rPr>
          <w:b w:val="0"/>
          <w:color w:val="000000"/>
          <w:shd w:fill="efefef" w:val="clear"/>
        </w:rPr>
      </w:pPr>
      <w:r w:rsidDel="00000000" w:rsidR="00000000" w:rsidRPr="00000000">
        <w:rPr>
          <w:b w:val="0"/>
          <w:color w:val="000000"/>
          <w:shd w:fill="efefef" w:val="clear"/>
          <w:rtl w:val="0"/>
        </w:rPr>
        <w:t xml:space="preserve">Viña Undurraga no complementa la fundamentación de los supuestos errores de registro, por lo tanto, no acompaña comprobantes en la nueva versión del PdC (en adelante “PdC refundido”) que así lo permitan afirmar. Razón por la cual el PdC refundido no contiene la acción </w:t>
      </w:r>
      <w:r w:rsidDel="00000000" w:rsidR="00000000" w:rsidRPr="00000000">
        <w:rPr>
          <w:color w:val="000000"/>
          <w:shd w:fill="efefef" w:val="clear"/>
          <w:rtl w:val="0"/>
        </w:rPr>
        <w:t xml:space="preserve">“Auditar Planilla Control de caudales registros históricos</w:t>
      </w:r>
      <w:r w:rsidDel="00000000" w:rsidR="00000000" w:rsidRPr="00000000">
        <w:rPr>
          <w:b w:val="0"/>
          <w:color w:val="000000"/>
          <w:shd w:fill="efefef" w:val="clear"/>
          <w:rtl w:val="0"/>
        </w:rPr>
        <w:t xml:space="preserve">”.</w:t>
      </w:r>
    </w:p>
    <w:p w:rsidR="00000000" w:rsidDel="00000000" w:rsidP="00000000" w:rsidRDefault="00000000" w:rsidRPr="00000000" w14:paraId="0000002F">
      <w:pPr>
        <w:spacing w:after="160" w:lineRule="auto"/>
        <w:jc w:val="both"/>
        <w:rPr>
          <w:b w:val="0"/>
          <w:color w:val="000000"/>
          <w:shd w:fill="efefef" w:val="clear"/>
        </w:rPr>
      </w:pPr>
      <w:r w:rsidDel="00000000" w:rsidR="00000000" w:rsidRPr="00000000">
        <w:rPr>
          <w:b w:val="0"/>
          <w:color w:val="000000"/>
          <w:shd w:fill="efefef" w:val="clear"/>
          <w:rtl w:val="0"/>
        </w:rPr>
        <w:t xml:space="preserve">Por lo anterior, Viña Undurraga asume las excedencias que fueron imputadas en la formulación de cargos dentro del análisis de efectos, eliminando esta fundamentación del Anexo, por lo tanto, se asumen las excedencias constatadas en la Tabla 1.</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jc w:val="both"/>
        <w:rPr>
          <w:b w:val="0"/>
          <w:color w:val="000000"/>
        </w:rPr>
      </w:pPr>
      <w:r w:rsidDel="00000000" w:rsidR="00000000" w:rsidRPr="00000000">
        <w:rPr>
          <w:rtl w:val="0"/>
        </w:rPr>
      </w:r>
    </w:p>
    <w:tbl>
      <w:tblPr>
        <w:tblStyle w:val="Table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71"/>
        <w:tblGridChange w:id="0">
          <w:tblGrid>
            <w:gridCol w:w="9071"/>
          </w:tblGrid>
        </w:tblGridChange>
      </w:tblGrid>
      <w:tr>
        <w:trPr>
          <w:cantSplit w:val="0"/>
          <w:trHeight w:val="15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Potenciales efectos ambientales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el mismo sentido, en la sección "Potenciales Efectos Ambientales" se indica que el proyecto "no da la posibilidad de realizar una descarga de 420 m</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superscript"/>
                <w:rtl w:val="0"/>
              </w:rPr>
              <w:t xml:space="preserve">3</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/d". Sin embargo, ello corresponde a un argumento de descargos que no puede ser formulado en la presente etapa procedimental.</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60" w:lineRule="auto"/>
              <w:jc w:val="both"/>
              <w:rPr>
                <w:color w:val="000000"/>
              </w:rPr>
            </w:pPr>
            <w:r w:rsidDel="00000000" w:rsidR="00000000" w:rsidRPr="00000000">
              <w:rPr>
                <w:rtl w:val="0"/>
              </w:rPr>
            </w:r>
          </w:p>
        </w:tc>
      </w:tr>
    </w:tbl>
    <w:p w:rsidR="00000000" w:rsidDel="00000000" w:rsidP="00000000" w:rsidRDefault="00000000" w:rsidRPr="00000000" w14:paraId="00000034">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35">
      <w:pPr>
        <w:spacing w:after="160" w:lineRule="auto"/>
        <w:jc w:val="both"/>
        <w:rPr>
          <w:b w:val="0"/>
          <w:color w:val="000000"/>
          <w:shd w:fill="efefef" w:val="clear"/>
        </w:rPr>
      </w:pPr>
      <w:r w:rsidDel="00000000" w:rsidR="00000000" w:rsidRPr="00000000">
        <w:rPr>
          <w:b w:val="0"/>
          <w:color w:val="000000"/>
          <w:shd w:fill="efefef" w:val="clear"/>
          <w:rtl w:val="0"/>
        </w:rPr>
        <w:t xml:space="preserve">La nueva versión del PdC presentado a la SMA con fecha 04 de noviembre 2022 “PdC refundido” no contiene la frase "</w:t>
      </w:r>
      <w:r w:rsidDel="00000000" w:rsidR="00000000" w:rsidRPr="00000000">
        <w:rPr>
          <w:b w:val="0"/>
          <w:i w:val="1"/>
          <w:color w:val="000000"/>
          <w:shd w:fill="efefef" w:val="clear"/>
          <w:rtl w:val="0"/>
        </w:rPr>
        <w:t xml:space="preserve">no da la posibilidad de realizar una descarga de 420 m</w:t>
      </w:r>
      <w:r w:rsidDel="00000000" w:rsidR="00000000" w:rsidRPr="00000000">
        <w:rPr>
          <w:b w:val="0"/>
          <w:i w:val="1"/>
          <w:color w:val="000000"/>
          <w:shd w:fill="efefef" w:val="clear"/>
          <w:vertAlign w:val="superscript"/>
          <w:rtl w:val="0"/>
        </w:rPr>
        <w:t xml:space="preserve">3</w:t>
      </w:r>
      <w:r w:rsidDel="00000000" w:rsidR="00000000" w:rsidRPr="00000000">
        <w:rPr>
          <w:b w:val="0"/>
          <w:i w:val="1"/>
          <w:color w:val="000000"/>
          <w:shd w:fill="efefef" w:val="clear"/>
          <w:rtl w:val="0"/>
        </w:rPr>
        <w:t xml:space="preserve">/día</w:t>
      </w:r>
      <w:r w:rsidDel="00000000" w:rsidR="00000000" w:rsidRPr="00000000">
        <w:rPr>
          <w:b w:val="0"/>
          <w:color w:val="000000"/>
          <w:shd w:fill="efefef" w:val="clear"/>
          <w:rtl w:val="0"/>
        </w:rPr>
        <w:t xml:space="preserve">". Se corrige.</w:t>
      </w:r>
    </w:p>
    <w:p w:rsidR="00000000" w:rsidDel="00000000" w:rsidP="00000000" w:rsidRDefault="00000000" w:rsidRPr="00000000" w14:paraId="00000036">
      <w:pPr>
        <w:spacing w:after="160" w:lineRule="auto"/>
        <w:jc w:val="both"/>
        <w:rPr>
          <w:color w:val="000000"/>
        </w:rPr>
      </w:pPr>
      <w:r w:rsidDel="00000000" w:rsidR="00000000" w:rsidRPr="00000000">
        <w:rPr>
          <w:rtl w:val="0"/>
        </w:rPr>
      </w:r>
    </w:p>
    <w:tbl>
      <w:tblPr>
        <w:tblStyle w:val="Table2"/>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71"/>
        <w:tblGridChange w:id="0">
          <w:tblGrid>
            <w:gridCol w:w="9071"/>
          </w:tblGrid>
        </w:tblGridChange>
      </w:tblGrid>
      <w:tr>
        <w:trPr>
          <w:cantSplit w:val="0"/>
          <w:trHeight w:val="9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Informes de aguas subterráneas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cuanto a los efectos sobre aguas subterráneas, debe acompañar los informes en base a los cuales elaboró el anexo 1.3 "Planilla Histórico Calidad de Agua Subterránea"</w:t>
            </w:r>
            <w:r w:rsidDel="00000000" w:rsidR="00000000" w:rsidRPr="00000000">
              <w:rPr>
                <w:rtl w:val="0"/>
              </w:rPr>
            </w:r>
          </w:p>
        </w:tc>
      </w:tr>
    </w:tbl>
    <w:p w:rsidR="00000000" w:rsidDel="00000000" w:rsidP="00000000" w:rsidRDefault="00000000" w:rsidRPr="00000000" w14:paraId="00000039">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3A">
      <w:pPr>
        <w:spacing w:after="160" w:lineRule="auto"/>
        <w:jc w:val="both"/>
        <w:rPr>
          <w:b w:val="0"/>
          <w:color w:val="000000"/>
          <w:shd w:fill="efefef" w:val="clear"/>
        </w:rPr>
      </w:pPr>
      <w:r w:rsidDel="00000000" w:rsidR="00000000" w:rsidRPr="00000000">
        <w:rPr>
          <w:b w:val="0"/>
          <w:color w:val="000000"/>
          <w:shd w:fill="efefef" w:val="clear"/>
          <w:rtl w:val="0"/>
        </w:rPr>
        <w:t xml:space="preserve">En el Minuta 1 del PdC Refundido en Anexo Minuta Cargo 1 se presentan los “Informes Agua Subterránea” que contiene los informes de análisis de calidad de agua subterránea realizados en el año 2015 al 2022.</w:t>
      </w:r>
    </w:p>
    <w:p w:rsidR="00000000" w:rsidDel="00000000" w:rsidP="00000000" w:rsidRDefault="00000000" w:rsidRPr="00000000" w14:paraId="0000003B">
      <w:pPr>
        <w:jc w:val="both"/>
        <w:rPr>
          <w:color w:val="00000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Efectos sobre el suelo</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relación con los efectos sobre el suelo, en la próxima entrega del PdC se debe acompañar el informe agronómico referido en este anexo, atendido que, en la presentación de 8 de septiembre de 2022, ninguno de los informes hace un análisis concreto del efecto que habría tenido sobre el suelo, el riego con mayor volumen del autorizado.</w:t>
      </w:r>
    </w:p>
    <w:p w:rsidR="00000000" w:rsidDel="00000000" w:rsidP="00000000" w:rsidRDefault="00000000" w:rsidRPr="00000000" w14:paraId="0000003E">
      <w:pPr>
        <w:widowControl w:val="0"/>
        <w:jc w:val="both"/>
        <w:rPr>
          <w:color w:val="000000"/>
        </w:rPr>
      </w:pPr>
      <w:r w:rsidDel="00000000" w:rsidR="00000000" w:rsidRPr="00000000">
        <w:rPr>
          <w:rtl w:val="0"/>
        </w:rPr>
      </w:r>
    </w:p>
    <w:p w:rsidR="00000000" w:rsidDel="00000000" w:rsidP="00000000" w:rsidRDefault="00000000" w:rsidRPr="00000000" w14:paraId="0000003F">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40">
      <w:pPr>
        <w:spacing w:after="160" w:lineRule="auto"/>
        <w:jc w:val="both"/>
        <w:rPr>
          <w:b w:val="0"/>
          <w:color w:val="000000"/>
          <w:shd w:fill="efefef" w:val="clear"/>
        </w:rPr>
      </w:pPr>
      <w:r w:rsidDel="00000000" w:rsidR="00000000" w:rsidRPr="00000000">
        <w:rPr>
          <w:b w:val="0"/>
          <w:color w:val="000000"/>
          <w:shd w:fill="efefef" w:val="clear"/>
          <w:rtl w:val="0"/>
        </w:rPr>
        <w:t xml:space="preserve">En el Anexo 12 de esta presentación se presenta una nueva versión del informe Agronómico actualizado</w:t>
      </w:r>
      <w:r w:rsidDel="00000000" w:rsidR="00000000" w:rsidRPr="00000000">
        <w:rPr>
          <w:b w:val="0"/>
          <w:color w:val="000000"/>
          <w:shd w:fill="efefef" w:val="clear"/>
          <w:rtl w:val="0"/>
        </w:rPr>
        <w:t xml:space="preserve">. </w:t>
      </w:r>
      <w:r w:rsidDel="00000000" w:rsidR="00000000" w:rsidRPr="00000000">
        <w:rPr>
          <w:rtl w:val="0"/>
        </w:rPr>
      </w:r>
    </w:p>
    <w:p w:rsidR="00000000" w:rsidDel="00000000" w:rsidP="00000000" w:rsidRDefault="00000000" w:rsidRPr="00000000" w14:paraId="00000041">
      <w:pPr>
        <w:spacing w:after="160" w:lineRule="auto"/>
        <w:jc w:val="both"/>
        <w:rPr>
          <w:b w:val="0"/>
          <w:color w:val="0070c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acciones nuevas al PDC asociadas al suelo</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la próxima versión del informe se debe concordar lo señalado en este anexo con lo indicado en la sección "Descripción de los efectos negativos producidos por la infracción (...)", ya que plantea cuestiones contradictorias. En concreto, en esta minuta se indica que respecto de los efectos sobre el suelo "no se descartan ante la inexistencia de estudios que permitan acreditar lo contrario". Al contrario, en el PdC se señala que "no se han detectado efectos negativos sobre el suelo al disponer más efluente tratado que el autorizado (...) conforme a lo señalado en el informe agronómico y últimos muestreos" (énfasis agregados). Por lo tanto, si no se descartan efectos, se deben contemplar acciones concretas para hacerse cargo de ellos.</w:t>
      </w:r>
    </w:p>
    <w:p w:rsidR="00000000" w:rsidDel="00000000" w:rsidP="00000000" w:rsidRDefault="00000000" w:rsidRPr="00000000" w14:paraId="00000044">
      <w:pPr>
        <w:widowControl w:val="0"/>
        <w:jc w:val="both"/>
        <w:rPr>
          <w:color w:val="000000"/>
        </w:rPr>
      </w:pPr>
      <w:r w:rsidDel="00000000" w:rsidR="00000000" w:rsidRPr="00000000">
        <w:rPr>
          <w:rtl w:val="0"/>
        </w:rPr>
      </w:r>
    </w:p>
    <w:p w:rsidR="00000000" w:rsidDel="00000000" w:rsidP="00000000" w:rsidRDefault="00000000" w:rsidRPr="00000000" w14:paraId="00000045">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46">
      <w:pPr>
        <w:spacing w:after="160" w:lineRule="auto"/>
        <w:jc w:val="both"/>
        <w:rPr>
          <w:b w:val="0"/>
          <w:color w:val="000000"/>
          <w:shd w:fill="efefef" w:val="clear"/>
        </w:rPr>
      </w:pPr>
      <w:r w:rsidDel="00000000" w:rsidR="00000000" w:rsidRPr="00000000">
        <w:rPr>
          <w:b w:val="0"/>
          <w:color w:val="000000"/>
          <w:shd w:fill="efefef" w:val="clear"/>
          <w:rtl w:val="0"/>
        </w:rPr>
        <w:t xml:space="preserve">En el PdC refundido se modifica lo señalado, enfatizando que no se detectan efectos negativos sobre el suelo concordante a lo indicado en el informe agronómico y lo analizado en el Anexo 1. </w:t>
      </w:r>
      <w:r w:rsidDel="00000000" w:rsidR="00000000" w:rsidRPr="00000000">
        <w:rPr>
          <w:rtl w:val="0"/>
        </w:rPr>
      </w:r>
    </w:p>
    <w:p w:rsidR="00000000" w:rsidDel="00000000" w:rsidP="00000000" w:rsidRDefault="00000000" w:rsidRPr="00000000" w14:paraId="00000047">
      <w:pPr>
        <w:spacing w:after="160" w:lineRule="auto"/>
        <w:jc w:val="both"/>
        <w:rPr>
          <w:color w:val="000000"/>
        </w:rPr>
      </w:pPr>
      <w:r w:rsidDel="00000000" w:rsidR="00000000" w:rsidRPr="00000000">
        <w:rPr>
          <w:rtl w:val="0"/>
        </w:rPr>
      </w:r>
    </w:p>
    <w:p w:rsidR="00000000" w:rsidDel="00000000" w:rsidP="00000000" w:rsidRDefault="00000000" w:rsidRPr="00000000" w14:paraId="00000048">
      <w:pPr>
        <w:spacing w:after="160" w:lineRule="auto"/>
        <w:jc w:val="both"/>
        <w:rPr>
          <w:color w:val="00000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Reporte de reclamos de olores durante el </w:t>
      </w:r>
      <w:r w:rsidDel="00000000" w:rsidR="00000000" w:rsidRPr="00000000">
        <w:rPr>
          <w:color w:val="000000"/>
          <w:rtl w:val="0"/>
        </w:rPr>
        <w:t xml:space="preserve">período</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 infraccional</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Se debe indicar si como consecuencia de esta infracción se pudieron generar malos olores, por cuanto una sobredescarga genera saturación del suelo y, por ende, un mayor periodo de residencia de los elementos que componen las aguas residuales expuestos a la atmósfera. Para efectuar este análisis, se solicita acompañar los reportes de reclamos por olores efectuados durante el período infraccional, con los que el titular cuenta a propósito del Plan de Gestión de olores, contemplado en la RCA 430/2020.</w:t>
      </w:r>
      <w:r w:rsidDel="00000000" w:rsidR="00000000" w:rsidRPr="00000000">
        <w:rPr>
          <w:rtl w:val="0"/>
        </w:rPr>
      </w:r>
    </w:p>
    <w:p w:rsidR="00000000" w:rsidDel="00000000" w:rsidP="00000000" w:rsidRDefault="00000000" w:rsidRPr="00000000" w14:paraId="0000004B">
      <w:pPr>
        <w:spacing w:after="160" w:lineRule="auto"/>
        <w:jc w:val="both"/>
        <w:rPr>
          <w:color w:val="000000"/>
        </w:rPr>
      </w:pPr>
      <w:r w:rsidDel="00000000" w:rsidR="00000000" w:rsidRPr="00000000">
        <w:rPr>
          <w:rtl w:val="0"/>
        </w:rPr>
      </w:r>
    </w:p>
    <w:p w:rsidR="00000000" w:rsidDel="00000000" w:rsidP="00000000" w:rsidRDefault="00000000" w:rsidRPr="00000000" w14:paraId="0000004C">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4D">
      <w:pPr>
        <w:spacing w:after="160" w:lineRule="auto"/>
        <w:jc w:val="both"/>
        <w:rPr>
          <w:b w:val="0"/>
          <w:color w:val="000000"/>
          <w:shd w:fill="efefef" w:val="clear"/>
        </w:rPr>
      </w:pPr>
      <w:r w:rsidDel="00000000" w:rsidR="00000000" w:rsidRPr="00000000">
        <w:rPr>
          <w:b w:val="0"/>
          <w:color w:val="000000"/>
          <w:shd w:fill="efefef" w:val="clear"/>
          <w:rtl w:val="0"/>
        </w:rPr>
        <w:t xml:space="preserve">No se generaron reportes de reclamos de olores efectuados durante el período infraccional. Cabe mencionar que no se genera saturación del suelo, debido al sistema de riego por goteo (90% de eficiencia) y a la mantención de un caudal de agua de riego constante y regulado. Además, los 420 m3/día de Riles generados a la salida de la PTR y posteriormente conducidos y mezclados en el tranque con agua de riego, por lo que no hay posibilidad de generación de olores. </w:t>
      </w:r>
    </w:p>
    <w:p w:rsidR="00000000" w:rsidDel="00000000" w:rsidP="00000000" w:rsidRDefault="00000000" w:rsidRPr="00000000" w14:paraId="0000004E">
      <w:pPr>
        <w:spacing w:after="160" w:lineRule="auto"/>
        <w:jc w:val="both"/>
        <w:rPr>
          <w:b w:val="0"/>
          <w:color w:val="0070c0"/>
        </w:rPr>
      </w:pP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Observaciones relativas al plan de acciones y metas del Cargo N°1</w:t>
      </w:r>
    </w:p>
    <w:p w:rsidR="00000000" w:rsidDel="00000000" w:rsidP="00000000" w:rsidRDefault="00000000" w:rsidRPr="00000000" w14:paraId="00000050">
      <w:pPr>
        <w:spacing w:after="160" w:lineRule="auto"/>
        <w:jc w:val="both"/>
        <w:rPr>
          <w:color w:val="000000"/>
        </w:rPr>
      </w:pPr>
      <w:r w:rsidDel="00000000" w:rsidR="00000000" w:rsidRPr="00000000">
        <w:rPr>
          <w:rtl w:val="0"/>
        </w:rPr>
      </w:r>
    </w:p>
    <w:p w:rsidR="00000000" w:rsidDel="00000000" w:rsidP="00000000" w:rsidRDefault="00000000" w:rsidRPr="00000000" w14:paraId="00000051">
      <w:pPr>
        <w:spacing w:after="160" w:lineRule="auto"/>
        <w:jc w:val="both"/>
        <w:rPr>
          <w:color w:val="000000"/>
        </w:rPr>
      </w:pPr>
      <w:r w:rsidDel="00000000" w:rsidR="00000000" w:rsidRPr="00000000">
        <w:rPr>
          <w:color w:val="000000"/>
          <w:rtl w:val="0"/>
        </w:rPr>
        <w:t xml:space="preserve">12. Eliminar acción 1 del PdC</w:t>
      </w:r>
    </w:p>
    <w:p w:rsidR="00000000" w:rsidDel="00000000" w:rsidP="00000000" w:rsidRDefault="00000000" w:rsidRPr="00000000" w14:paraId="00000052">
      <w:pPr>
        <w:spacing w:after="160" w:lineRule="auto"/>
        <w:jc w:val="both"/>
        <w:rPr>
          <w:color w:val="000000"/>
        </w:rPr>
      </w:pPr>
      <w:r w:rsidDel="00000000" w:rsidR="00000000" w:rsidRPr="00000000">
        <w:rPr>
          <w:color w:val="000000"/>
          <w:rtl w:val="0"/>
        </w:rPr>
        <w:t xml:space="preserve">Respecto de la acción N° 1 “Auditar Planilla Control de Caudales registros Históricos" (ejecutada), se solicita eliminar esta acción, puesto que no corresponde a una gestión para retornar al cumplimiento de las autorizaciones ambientales infringidas.</w:t>
      </w:r>
    </w:p>
    <w:p w:rsidR="00000000" w:rsidDel="00000000" w:rsidP="00000000" w:rsidRDefault="00000000" w:rsidRPr="00000000" w14:paraId="00000053">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54">
      <w:pPr>
        <w:spacing w:after="160" w:lineRule="auto"/>
        <w:jc w:val="both"/>
        <w:rPr>
          <w:b w:val="0"/>
          <w:color w:val="000000"/>
          <w:shd w:fill="efefef" w:val="clear"/>
        </w:rPr>
      </w:pPr>
      <w:r w:rsidDel="00000000" w:rsidR="00000000" w:rsidRPr="00000000">
        <w:rPr>
          <w:b w:val="0"/>
          <w:color w:val="000000"/>
          <w:shd w:fill="efefef" w:val="clear"/>
          <w:rtl w:val="0"/>
        </w:rPr>
        <w:t xml:space="preserve">Se elimina la acción N°1 "Auditar Planilla Control de Caudales registros Históricos” del PdC refundido.</w:t>
      </w:r>
    </w:p>
    <w:p w:rsidR="00000000" w:rsidDel="00000000" w:rsidP="00000000" w:rsidRDefault="00000000" w:rsidRPr="00000000" w14:paraId="00000055">
      <w:pPr>
        <w:spacing w:after="160" w:lineRule="auto"/>
        <w:jc w:val="both"/>
        <w:rPr>
          <w:color w:val="000000"/>
        </w:rPr>
      </w:pPr>
      <w:r w:rsidDel="00000000" w:rsidR="00000000" w:rsidRPr="00000000">
        <w:rPr>
          <w:rtl w:val="0"/>
        </w:rPr>
      </w:r>
    </w:p>
    <w:p w:rsidR="00000000" w:rsidDel="00000000" w:rsidP="00000000" w:rsidRDefault="00000000" w:rsidRPr="00000000" w14:paraId="00000056">
      <w:pPr>
        <w:spacing w:after="160" w:lineRule="auto"/>
        <w:jc w:val="both"/>
        <w:rPr>
          <w:color w:val="000000"/>
        </w:rPr>
      </w:pPr>
      <w:r w:rsidDel="00000000" w:rsidR="00000000" w:rsidRPr="00000000">
        <w:rPr>
          <w:color w:val="000000"/>
          <w:rtl w:val="0"/>
        </w:rPr>
        <w:t xml:space="preserve">13. Respecto de la acción N° 2 “Actualización del Procedimiento Control de Caudal RILes PTLX” (en ejecución), se solicita incorporar las siguientes observaciones:</w:t>
      </w:r>
    </w:p>
    <w:p w:rsidR="00000000" w:rsidDel="00000000" w:rsidP="00000000" w:rsidRDefault="00000000" w:rsidRPr="00000000" w14:paraId="0000005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Corregir fecha inicio y término acción 2</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Fecha de inicio y plazo de ejecución: si la acción ya está en ejecución su inicio no puede ser con posterioridad a la aprobación del PdC. Asimismo, la fecha de término no puede depender de otro evento, sino que tiene que establecerse en un plazo desde el inicio de ejecución de la acción 1</w:t>
      </w:r>
    </w:p>
    <w:p w:rsidR="00000000" w:rsidDel="00000000" w:rsidP="00000000" w:rsidRDefault="00000000" w:rsidRPr="00000000" w14:paraId="00000059">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5A">
      <w:pPr>
        <w:spacing w:after="160" w:lineRule="auto"/>
        <w:jc w:val="both"/>
        <w:rPr>
          <w:b w:val="0"/>
          <w:color w:val="000000"/>
          <w:shd w:fill="efefef" w:val="clear"/>
        </w:rPr>
      </w:pPr>
      <w:r w:rsidDel="00000000" w:rsidR="00000000" w:rsidRPr="00000000">
        <w:rPr>
          <w:b w:val="0"/>
          <w:color w:val="000000"/>
          <w:shd w:fill="efefef" w:val="clear"/>
          <w:rtl w:val="0"/>
        </w:rPr>
        <w:t xml:space="preserve">En el PdC refundido se realiza la modificación de la fecha de inicio y término de la acción "Actualización del Procedimiento Control de Caudal RILes PTLX" (ya ejecutada).</w:t>
      </w:r>
    </w:p>
    <w:p w:rsidR="00000000" w:rsidDel="00000000" w:rsidP="00000000" w:rsidRDefault="00000000" w:rsidRPr="00000000" w14:paraId="0000005B">
      <w:pPr>
        <w:spacing w:after="160" w:lineRule="auto"/>
        <w:jc w:val="both"/>
        <w:rPr>
          <w:color w:val="000000"/>
        </w:rPr>
      </w:pPr>
      <w:r w:rsidDel="00000000" w:rsidR="00000000" w:rsidRPr="00000000">
        <w:rPr>
          <w:rtl w:val="0"/>
        </w:rPr>
      </w:r>
    </w:p>
    <w:p w:rsidR="00000000" w:rsidDel="00000000" w:rsidP="00000000" w:rsidRDefault="00000000" w:rsidRPr="00000000" w14:paraId="0000005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Versión actualizada Procedimiento Control de Caudales</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si la acción está en ejecución, se debe acompañar una versión del procedimiento actualizado junto con la siguiente versión del PdC, de manera de poder evaluar su eficacia.</w:t>
      </w:r>
    </w:p>
    <w:p w:rsidR="00000000" w:rsidDel="00000000" w:rsidP="00000000" w:rsidRDefault="00000000" w:rsidRPr="00000000" w14:paraId="0000005E">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5F">
      <w:pPr>
        <w:spacing w:after="160" w:lineRule="auto"/>
        <w:jc w:val="both"/>
        <w:rPr>
          <w:b w:val="0"/>
          <w:color w:val="000000"/>
          <w:shd w:fill="efefef" w:val="clear"/>
        </w:rPr>
      </w:pPr>
      <w:r w:rsidDel="00000000" w:rsidR="00000000" w:rsidRPr="00000000">
        <w:rPr>
          <w:b w:val="0"/>
          <w:color w:val="000000"/>
          <w:shd w:fill="efefef" w:val="clear"/>
          <w:rtl w:val="0"/>
        </w:rPr>
        <w:t xml:space="preserve">En el Anexo 1 del PdC Refundido se presenta el procedimiento actualizado de Control de caudales.</w:t>
      </w:r>
    </w:p>
    <w:p w:rsidR="00000000" w:rsidDel="00000000" w:rsidP="00000000" w:rsidRDefault="00000000" w:rsidRPr="00000000" w14:paraId="00000060">
      <w:pPr>
        <w:spacing w:after="160" w:lineRule="auto"/>
        <w:jc w:val="both"/>
        <w:rPr>
          <w:color w:val="000000"/>
        </w:rPr>
      </w:pPr>
      <w:r w:rsidDel="00000000" w:rsidR="00000000" w:rsidRPr="00000000">
        <w:rPr>
          <w:rtl w:val="0"/>
        </w:rPr>
      </w:r>
    </w:p>
    <w:p w:rsidR="00000000" w:rsidDel="00000000" w:rsidP="00000000" w:rsidRDefault="00000000" w:rsidRPr="00000000" w14:paraId="00000061">
      <w:pPr>
        <w:spacing w:after="160" w:lineRule="auto"/>
        <w:jc w:val="both"/>
        <w:rPr>
          <w:color w:val="000000"/>
        </w:rPr>
      </w:pPr>
      <w:r w:rsidDel="00000000" w:rsidR="00000000" w:rsidRPr="00000000">
        <w:rPr>
          <w:color w:val="000000"/>
          <w:rtl w:val="0"/>
        </w:rPr>
        <w:t xml:space="preserve">14. Respecto de la acción N° 3 "Activación de alerta preventiva, cuando se registra una medición dentro de Caudal preventivo definido a la entrada PTR" (en ejecución), se solicita incorporar las siguientes observaciones:</w:t>
      </w:r>
    </w:p>
    <w:p w:rsidR="00000000" w:rsidDel="00000000" w:rsidP="00000000" w:rsidRDefault="00000000" w:rsidRPr="00000000" w14:paraId="00000062">
      <w:pPr>
        <w:spacing w:after="160" w:lineRule="auto"/>
        <w:jc w:val="both"/>
        <w:rPr>
          <w:color w:val="00000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en el PdC refundido anexo (minuta complementaria) para la eliminar acción</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Debe acompañar un Anexo con una minuta explicativa de lo que ocurrirá con los Riles cuando se active la alerta preventiva, ya que no queda claro qué pasa con los Riles cuando se dejan de impulsar a la cuba de 200 m3. En dicho anexo, se deberá indicar cómo esta alerta permitirá cumplir con el límite de riego, atendido que la existencia de un tranque de riego previo a la salida pudiera hacer que esta acción sea ineficaz.</w:t>
      </w:r>
    </w:p>
    <w:p w:rsidR="00000000" w:rsidDel="00000000" w:rsidP="00000000" w:rsidRDefault="00000000" w:rsidRPr="00000000" w14:paraId="00000065">
      <w:pPr>
        <w:spacing w:after="160" w:lineRule="auto"/>
        <w:jc w:val="both"/>
        <w:rPr>
          <w:color w:val="000000"/>
        </w:rPr>
      </w:pPr>
      <w:r w:rsidDel="00000000" w:rsidR="00000000" w:rsidRPr="00000000">
        <w:rPr>
          <w:rtl w:val="0"/>
        </w:rPr>
      </w:r>
    </w:p>
    <w:p w:rsidR="00000000" w:rsidDel="00000000" w:rsidP="00000000" w:rsidRDefault="00000000" w:rsidRPr="00000000" w14:paraId="00000066">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67">
      <w:pPr>
        <w:spacing w:after="160" w:lineRule="auto"/>
        <w:jc w:val="both"/>
        <w:rPr>
          <w:b w:val="0"/>
          <w:color w:val="000000"/>
          <w:shd w:fill="efefef" w:val="clear"/>
        </w:rPr>
      </w:pPr>
      <w:r w:rsidDel="00000000" w:rsidR="00000000" w:rsidRPr="00000000">
        <w:rPr>
          <w:b w:val="0"/>
          <w:color w:val="000000"/>
          <w:shd w:fill="efefef" w:val="clear"/>
          <w:rtl w:val="0"/>
        </w:rPr>
        <w:t xml:space="preserve">No se incluye minuta explicativa en la forma de implementación, ya que efectivamente esta acción no controla el caudal de aplicación de riego. El caudal autorizado de los 420 m3/día corresponde a la descarga del Efluente Tratado al Tranque de riego, esta acción viene a  controlar el caudal autorizado de descarga al Tranque. Se incluye en la Forma de implementación y a su vez se complementa el nombre de la acción.</w:t>
      </w:r>
    </w:p>
    <w:p w:rsidR="00000000" w:rsidDel="00000000" w:rsidP="00000000" w:rsidRDefault="00000000" w:rsidRPr="00000000" w14:paraId="00000068">
      <w:pPr>
        <w:spacing w:after="160" w:lineRule="auto"/>
        <w:jc w:val="both"/>
        <w:rPr>
          <w:b w:val="0"/>
          <w:color w:val="000000"/>
          <w:shd w:fill="efefef" w:val="clear"/>
        </w:rPr>
      </w:pPr>
      <w:r w:rsidDel="00000000" w:rsidR="00000000" w:rsidRPr="00000000">
        <w:rPr>
          <w:b w:val="0"/>
          <w:color w:val="000000"/>
          <w:shd w:fill="efefef" w:val="clear"/>
          <w:rtl w:val="0"/>
        </w:rPr>
        <w:t xml:space="preserve">“Los paso a paso de la activación de la alerta preventiva son descritos en el Procedimiento Control de Caudal RILes PTLX presentado en la acción N°1”</w:t>
      </w:r>
    </w:p>
    <w:p w:rsidR="00000000" w:rsidDel="00000000" w:rsidP="00000000" w:rsidRDefault="00000000" w:rsidRPr="00000000" w14:paraId="00000069">
      <w:pPr>
        <w:spacing w:after="160" w:lineRule="auto"/>
        <w:jc w:val="both"/>
        <w:rPr>
          <w:b w:val="0"/>
          <w:color w:val="000000"/>
          <w:shd w:fill="efefef" w:val="clear"/>
        </w:rPr>
      </w:pPr>
      <w:r w:rsidDel="00000000" w:rsidR="00000000" w:rsidRPr="00000000">
        <w:rPr>
          <w:b w:val="0"/>
          <w:color w:val="000000"/>
          <w:shd w:fill="efefef" w:val="clear"/>
          <w:rtl w:val="0"/>
        </w:rPr>
        <w:t xml:space="preserve">La que da cuenta de la operación de la cuba de 200 m3.</w:t>
      </w:r>
    </w:p>
    <w:p w:rsidR="00000000" w:rsidDel="00000000" w:rsidP="00000000" w:rsidRDefault="00000000" w:rsidRPr="00000000" w14:paraId="0000006A">
      <w:pPr>
        <w:spacing w:after="160" w:lineRule="auto"/>
        <w:jc w:val="both"/>
        <w:rPr>
          <w:b w:val="0"/>
          <w:color w:val="000000"/>
        </w:rPr>
      </w:pPr>
      <w:r w:rsidDel="00000000" w:rsidR="00000000" w:rsidRPr="00000000">
        <w:rPr>
          <w:rtl w:val="0"/>
        </w:rPr>
      </w:r>
    </w:p>
    <w:p w:rsidR="00000000" w:rsidDel="00000000" w:rsidP="00000000" w:rsidRDefault="00000000" w:rsidRPr="00000000" w14:paraId="0000006B">
      <w:pPr>
        <w:spacing w:after="160" w:lineRule="auto"/>
        <w:jc w:val="both"/>
        <w:rPr>
          <w:color w:val="000000"/>
        </w:rPr>
      </w:pPr>
      <w:r w:rsidDel="00000000" w:rsidR="00000000" w:rsidRPr="00000000">
        <w:rPr>
          <w:rtl w:val="0"/>
        </w:rPr>
      </w:r>
    </w:p>
    <w:p w:rsidR="00000000" w:rsidDel="00000000" w:rsidP="00000000" w:rsidRDefault="00000000" w:rsidRPr="00000000" w14:paraId="0000006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Incorporar como medio de verificación "registro de alerta preventiva"</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Reporte de avance:  se debe incorporar como medio de verificación un registro de aquellas fechas en las que se activó la alerta preventiva.</w:t>
      </w:r>
    </w:p>
    <w:p w:rsidR="00000000" w:rsidDel="00000000" w:rsidP="00000000" w:rsidRDefault="00000000" w:rsidRPr="00000000" w14:paraId="0000006E">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6F">
      <w:pPr>
        <w:spacing w:after="160" w:lineRule="auto"/>
        <w:jc w:val="both"/>
        <w:rPr>
          <w:b w:val="0"/>
          <w:color w:val="000000"/>
          <w:shd w:fill="efefef" w:val="clear"/>
        </w:rPr>
      </w:pPr>
      <w:r w:rsidDel="00000000" w:rsidR="00000000" w:rsidRPr="00000000">
        <w:rPr>
          <w:b w:val="0"/>
          <w:color w:val="000000"/>
          <w:shd w:fill="efefef" w:val="clear"/>
          <w:rtl w:val="0"/>
        </w:rPr>
        <w:t xml:space="preserve">Se acoge observación y se incorpora en el PdC refundido un registro de las alertas preventivas como medio de verificación. </w:t>
      </w:r>
    </w:p>
    <w:p w:rsidR="00000000" w:rsidDel="00000000" w:rsidP="00000000" w:rsidRDefault="00000000" w:rsidRPr="00000000" w14:paraId="00000070">
      <w:pPr>
        <w:spacing w:after="160" w:lineRule="auto"/>
        <w:jc w:val="both"/>
        <w:rPr>
          <w:color w:val="000000"/>
        </w:rPr>
      </w:pPr>
      <w:r w:rsidDel="00000000" w:rsidR="00000000" w:rsidRPr="00000000">
        <w:rPr>
          <w:rtl w:val="0"/>
        </w:rPr>
      </w:r>
    </w:p>
    <w:p w:rsidR="00000000" w:rsidDel="00000000" w:rsidP="00000000" w:rsidRDefault="00000000" w:rsidRPr="00000000" w14:paraId="0000007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Modificar indicador de cumplimiento</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0"/>
          <w:i w:val="0"/>
          <w:smallCaps w:val="0"/>
          <w:strike w:val="0"/>
          <w:color w:val="000000"/>
          <w:sz w:val="22"/>
          <w:szCs w:val="22"/>
          <w:u w:val="none"/>
          <w:shd w:fill="efefef" w:val="clear"/>
          <w:vertAlign w:val="baseline"/>
        </w:rPr>
      </w:pPr>
      <w:r w:rsidDel="00000000" w:rsidR="00000000" w:rsidRPr="00000000">
        <w:rPr>
          <w:rFonts w:ascii="Century Gothic" w:cs="Century Gothic" w:eastAsia="Century Gothic" w:hAnsi="Century Gothic"/>
          <w:b w:val="0"/>
          <w:i w:val="0"/>
          <w:smallCaps w:val="0"/>
          <w:strike w:val="0"/>
          <w:color w:val="000000"/>
          <w:sz w:val="22"/>
          <w:szCs w:val="22"/>
          <w:u w:val="none"/>
          <w:shd w:fill="efefef" w:val="clear"/>
          <w:vertAlign w:val="baseline"/>
          <w:rtl w:val="0"/>
        </w:rPr>
        <w:t xml:space="preserve">Indicador de cumplimiento:  se debe modificar por “Implementación de sistema de alerta preventiva provisorio".</w:t>
      </w:r>
    </w:p>
    <w:p w:rsidR="00000000" w:rsidDel="00000000" w:rsidP="00000000" w:rsidRDefault="00000000" w:rsidRPr="00000000" w14:paraId="00000073">
      <w:pPr>
        <w:spacing w:after="160" w:lineRule="auto"/>
        <w:jc w:val="both"/>
        <w:rPr>
          <w:color w:val="000000"/>
        </w:rPr>
      </w:pPr>
      <w:r w:rsidDel="00000000" w:rsidR="00000000" w:rsidRPr="00000000">
        <w:rPr>
          <w:rtl w:val="0"/>
        </w:rPr>
      </w:r>
    </w:p>
    <w:p w:rsidR="00000000" w:rsidDel="00000000" w:rsidP="00000000" w:rsidRDefault="00000000" w:rsidRPr="00000000" w14:paraId="00000074">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75">
      <w:pPr>
        <w:spacing w:after="160" w:lineRule="auto"/>
        <w:jc w:val="both"/>
        <w:rPr>
          <w:b w:val="0"/>
          <w:color w:val="000000"/>
        </w:rPr>
      </w:pPr>
      <w:r w:rsidDel="00000000" w:rsidR="00000000" w:rsidRPr="00000000">
        <w:rPr>
          <w:b w:val="0"/>
          <w:color w:val="000000"/>
          <w:shd w:fill="efefef" w:val="clear"/>
          <w:rtl w:val="0"/>
        </w:rPr>
        <w:t xml:space="preserve">Se acoge observación y se modifica en el PdC refundido el Indicador de cumplimiento a "Implementación de sistema de alerta preventiva provisorio''</w:t>
      </w:r>
      <w:r w:rsidDel="00000000" w:rsidR="00000000" w:rsidRPr="00000000">
        <w:rPr>
          <w:b w:val="0"/>
          <w:color w:val="000000"/>
          <w:rtl w:val="0"/>
        </w:rPr>
        <w:t xml:space="preserve">.</w:t>
      </w:r>
    </w:p>
    <w:p w:rsidR="00000000" w:rsidDel="00000000" w:rsidP="00000000" w:rsidRDefault="00000000" w:rsidRPr="00000000" w14:paraId="00000076">
      <w:pPr>
        <w:spacing w:after="160" w:lineRule="auto"/>
        <w:jc w:val="both"/>
        <w:rPr>
          <w:color w:val="000000"/>
        </w:rPr>
      </w:pPr>
      <w:r w:rsidDel="00000000" w:rsidR="00000000" w:rsidRPr="00000000">
        <w:rPr>
          <w:color w:val="000000"/>
          <w:rtl w:val="0"/>
        </w:rPr>
        <w:t xml:space="preserve">15. Respecto de la acción N’ 4 "Activación de alerta preventiva N° 2, cuando se registra una medición dentro de Caudal preventivo definido a la salida de la PTR" (en ejecución), se solicita incorporar las siguientes observaciones:</w:t>
      </w:r>
    </w:p>
    <w:p w:rsidR="00000000" w:rsidDel="00000000" w:rsidP="00000000" w:rsidRDefault="00000000" w:rsidRPr="00000000" w14:paraId="00000077">
      <w:pPr>
        <w:spacing w:after="160" w:lineRule="auto"/>
        <w:jc w:val="both"/>
        <w:rPr>
          <w:color w:val="000000"/>
        </w:rPr>
      </w:pP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Instalar caudalímetro a la salida del tranque</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Acción: el caudalímetro a ser instalado, para ser eficaz en controlar el volumen que se destina a riego, se debe ubicar a la salida del tranque y no a la salida de la PTR.</w:t>
      </w:r>
    </w:p>
    <w:p w:rsidR="00000000" w:rsidDel="00000000" w:rsidP="00000000" w:rsidRDefault="00000000" w:rsidRPr="00000000" w14:paraId="0000007A">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 </w:t>
      </w:r>
    </w:p>
    <w:p w:rsidR="00000000" w:rsidDel="00000000" w:rsidP="00000000" w:rsidRDefault="00000000" w:rsidRPr="00000000" w14:paraId="0000007B">
      <w:pPr>
        <w:spacing w:after="160" w:lineRule="auto"/>
        <w:jc w:val="both"/>
        <w:rPr>
          <w:color w:val="000000"/>
          <w:shd w:fill="efefef" w:val="clear"/>
        </w:rPr>
      </w:pPr>
      <w:r w:rsidDel="00000000" w:rsidR="00000000" w:rsidRPr="00000000">
        <w:rPr>
          <w:b w:val="0"/>
          <w:color w:val="000000"/>
          <w:shd w:fill="efefef" w:val="clear"/>
          <w:rtl w:val="0"/>
        </w:rPr>
        <w:t xml:space="preserve">No se acoge observación debido a que el tranque recibe Riles y agua de pozo. El tranque acumula el agua disponible para riego, la RCA 430/2020 señala que el RIL es acumulado y mezclado con agua  de buena calidad. Se adjunta Anexo 1.1. Sistema de Riego donde se describen los caudales de </w:t>
      </w:r>
      <w:r w:rsidDel="00000000" w:rsidR="00000000" w:rsidRPr="00000000">
        <w:rPr>
          <w:b w:val="0"/>
          <w:color w:val="000000"/>
          <w:shd w:fill="efefef" w:val="clear"/>
          <w:rtl w:val="0"/>
        </w:rPr>
        <w:t xml:space="preserve">riego</w:t>
      </w:r>
      <w:r w:rsidDel="00000000" w:rsidR="00000000" w:rsidRPr="00000000">
        <w:rPr>
          <w:b w:val="0"/>
          <w:color w:val="000000"/>
          <w:shd w:fill="efefef" w:val="clear"/>
          <w:rtl w:val="0"/>
        </w:rPr>
        <w:t xml:space="preserve">.</w:t>
      </w:r>
      <w:r w:rsidDel="00000000" w:rsidR="00000000" w:rsidRPr="00000000">
        <w:rPr>
          <w:rtl w:val="0"/>
        </w:rPr>
      </w:r>
    </w:p>
    <w:p w:rsidR="00000000" w:rsidDel="00000000" w:rsidP="00000000" w:rsidRDefault="00000000" w:rsidRPr="00000000" w14:paraId="0000007C">
      <w:pPr>
        <w:spacing w:after="160" w:lineRule="auto"/>
        <w:jc w:val="both"/>
        <w:rPr>
          <w:color w:val="00000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fecha concreta en nueva versión PdC para acción 4</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Fecha de inicio y plazo de ejecución: se debe indicar fecha de término, la cual debe consistir en una fecha concreta o un plazo desde el inicio de la ejecución de la acción.</w:t>
      </w:r>
    </w:p>
    <w:p w:rsidR="00000000" w:rsidDel="00000000" w:rsidP="00000000" w:rsidRDefault="00000000" w:rsidRPr="00000000" w14:paraId="0000007F">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 </w:t>
      </w:r>
    </w:p>
    <w:p w:rsidR="00000000" w:rsidDel="00000000" w:rsidP="00000000" w:rsidRDefault="00000000" w:rsidRPr="00000000" w14:paraId="00000080">
      <w:pPr>
        <w:spacing w:after="160" w:lineRule="auto"/>
        <w:jc w:val="both"/>
        <w:rPr>
          <w:b w:val="0"/>
          <w:color w:val="000000"/>
          <w:shd w:fill="efefef" w:val="clear"/>
        </w:rPr>
      </w:pPr>
      <w:r w:rsidDel="00000000" w:rsidR="00000000" w:rsidRPr="00000000">
        <w:rPr>
          <w:b w:val="0"/>
          <w:color w:val="000000"/>
          <w:shd w:fill="efefef" w:val="clear"/>
          <w:rtl w:val="0"/>
        </w:rPr>
        <w:t xml:space="preserve">Se acoge observación, se modifica la fecha de implementación de la acción en PdC refundido.</w:t>
      </w:r>
    </w:p>
    <w:p w:rsidR="00000000" w:rsidDel="00000000" w:rsidP="00000000" w:rsidRDefault="00000000" w:rsidRPr="00000000" w14:paraId="00000081">
      <w:pPr>
        <w:spacing w:after="160" w:lineRule="auto"/>
        <w:jc w:val="both"/>
        <w:rPr>
          <w:color w:val="000000"/>
        </w:rPr>
      </w:pPr>
      <w:r w:rsidDel="00000000" w:rsidR="00000000" w:rsidRPr="00000000">
        <w:rPr>
          <w:rtl w:val="0"/>
        </w:rPr>
      </w:r>
    </w:p>
    <w:p w:rsidR="00000000" w:rsidDel="00000000" w:rsidP="00000000" w:rsidRDefault="00000000" w:rsidRPr="00000000" w14:paraId="00000082">
      <w:pPr>
        <w:spacing w:after="160" w:lineRule="auto"/>
        <w:jc w:val="both"/>
        <w:rPr>
          <w:color w:val="000000"/>
        </w:rPr>
      </w:pPr>
      <w:r w:rsidDel="00000000" w:rsidR="00000000" w:rsidRPr="00000000">
        <w:rPr>
          <w:color w:val="000000"/>
          <w:rtl w:val="0"/>
        </w:rPr>
        <w:t xml:space="preserve">16. Respecto de la acción N° 5 “Automatizar el registro   de   los   caudalímetros   de   la   PTR” (por   ejecutar), se   solicita   incorporar   las   siguientes observaciones:</w:t>
      </w:r>
    </w:p>
    <w:p w:rsidR="00000000" w:rsidDel="00000000" w:rsidP="00000000" w:rsidRDefault="00000000" w:rsidRPr="00000000" w14:paraId="00000083">
      <w:pPr>
        <w:spacing w:after="160" w:lineRule="auto"/>
        <w:jc w:val="both"/>
        <w:rPr>
          <w:color w:val="000000"/>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anexo con detalle monitoreo continuo de RILes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Debe acompañar un anexo en el que se detalle de mejor manera cómo se realizará el monitoreo continuo de los Riles, contemplando la instalación de caudalímetro a la salida del tranque de riego</w:t>
      </w:r>
    </w:p>
    <w:p w:rsidR="00000000" w:rsidDel="00000000" w:rsidP="00000000" w:rsidRDefault="00000000" w:rsidRPr="00000000" w14:paraId="00000086">
      <w:pPr>
        <w:spacing w:after="160" w:lineRule="auto"/>
        <w:jc w:val="both"/>
        <w:rPr>
          <w:color w:val="000000"/>
        </w:rPr>
      </w:pPr>
      <w:r w:rsidDel="00000000" w:rsidR="00000000" w:rsidRPr="00000000">
        <w:rPr>
          <w:rtl w:val="0"/>
        </w:rPr>
      </w:r>
    </w:p>
    <w:p w:rsidR="00000000" w:rsidDel="00000000" w:rsidP="00000000" w:rsidRDefault="00000000" w:rsidRPr="00000000" w14:paraId="00000087">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 </w:t>
      </w:r>
    </w:p>
    <w:p w:rsidR="00000000" w:rsidDel="00000000" w:rsidP="00000000" w:rsidRDefault="00000000" w:rsidRPr="00000000" w14:paraId="00000088">
      <w:pPr>
        <w:spacing w:after="160" w:lineRule="auto"/>
        <w:jc w:val="both"/>
        <w:rPr>
          <w:b w:val="0"/>
          <w:color w:val="000000"/>
          <w:shd w:fill="f3f3f3" w:val="clear"/>
        </w:rPr>
      </w:pPr>
      <w:r w:rsidDel="00000000" w:rsidR="00000000" w:rsidRPr="00000000">
        <w:rPr>
          <w:b w:val="0"/>
          <w:color w:val="000000"/>
          <w:shd w:fill="f3f3f3" w:val="clear"/>
          <w:rtl w:val="0"/>
        </w:rPr>
        <w:t xml:space="preserve">Tal como se señala en la respuesta anterior, no es factible instalar un caudalímetro a la salida del tranque, ya que el caudal que se requiere para riego es mayor en ⅔ al RIl generado, el cual es suplido con aporte del pozo agrícola.</w:t>
      </w:r>
    </w:p>
    <w:p w:rsidR="00000000" w:rsidDel="00000000" w:rsidP="00000000" w:rsidRDefault="00000000" w:rsidRPr="00000000" w14:paraId="00000089">
      <w:pPr>
        <w:spacing w:after="160" w:lineRule="auto"/>
        <w:jc w:val="both"/>
        <w:rPr>
          <w:color w:val="000000"/>
        </w:rPr>
      </w:pP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Modificar indicador de cumplimiento</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Indicador de cumplimiento:  debe señalar "Instalación de transmisores IFC 300 y registro en línea de caudal".</w:t>
      </w:r>
    </w:p>
    <w:p w:rsidR="00000000" w:rsidDel="00000000" w:rsidP="00000000" w:rsidRDefault="00000000" w:rsidRPr="00000000" w14:paraId="0000008C">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8D">
      <w:pPr>
        <w:spacing w:after="160" w:lineRule="auto"/>
        <w:jc w:val="both"/>
        <w:rPr>
          <w:b w:val="0"/>
          <w:color w:val="000000"/>
          <w:shd w:fill="efefef" w:val="clear"/>
        </w:rPr>
      </w:pPr>
      <w:r w:rsidDel="00000000" w:rsidR="00000000" w:rsidRPr="00000000">
        <w:rPr>
          <w:b w:val="0"/>
          <w:color w:val="000000"/>
          <w:shd w:fill="efefef" w:val="clear"/>
          <w:rtl w:val="0"/>
        </w:rPr>
        <w:t xml:space="preserve">Se acoge observación y se incorpora como indicador de cumplimiento en el PdC refundido, "Instalación de transmisores IFC 300 y registro en línea de caudal</w:t>
      </w:r>
    </w:p>
    <w:p w:rsidR="00000000" w:rsidDel="00000000" w:rsidP="00000000" w:rsidRDefault="00000000" w:rsidRPr="00000000" w14:paraId="0000008E">
      <w:pPr>
        <w:spacing w:after="160" w:lineRule="auto"/>
        <w:jc w:val="both"/>
        <w:rPr>
          <w:color w:val="000000"/>
        </w:rPr>
      </w:pPr>
      <w:r w:rsidDel="00000000" w:rsidR="00000000" w:rsidRPr="00000000">
        <w:rPr>
          <w:rtl w:val="0"/>
        </w:rPr>
      </w:r>
    </w:p>
    <w:p w:rsidR="00000000" w:rsidDel="00000000" w:rsidP="00000000" w:rsidRDefault="00000000" w:rsidRPr="00000000" w14:paraId="0000008F">
      <w:pPr>
        <w:spacing w:after="160" w:lineRule="auto"/>
        <w:jc w:val="both"/>
        <w:rPr>
          <w:color w:val="000000"/>
        </w:rPr>
      </w:pPr>
      <w:r w:rsidDel="00000000" w:rsidR="00000000" w:rsidRPr="00000000">
        <w:rPr>
          <w:color w:val="000000"/>
          <w:rtl w:val="0"/>
        </w:rPr>
        <w:t xml:space="preserve">17. Incluir acciones nuevas al PDC asociadas al suelo</w:t>
      </w:r>
    </w:p>
    <w:p w:rsidR="00000000" w:rsidDel="00000000" w:rsidP="00000000" w:rsidRDefault="00000000" w:rsidRPr="00000000" w14:paraId="00000090">
      <w:pPr>
        <w:spacing w:after="160" w:lineRule="auto"/>
        <w:jc w:val="both"/>
        <w:rPr>
          <w:color w:val="000000"/>
        </w:rPr>
      </w:pPr>
      <w:r w:rsidDel="00000000" w:rsidR="00000000" w:rsidRPr="00000000">
        <w:rPr>
          <w:color w:val="000000"/>
          <w:rtl w:val="0"/>
        </w:rPr>
        <w:t xml:space="preserve">Nuevas   acciones:   se   debe   implementar   una inspección visual, junto con registro fotográfico fechado y georreferenciado, que sumado a los datos del caudal de salida del tranque de riego, permitan verificar la condición no saturada del suelo post riego.</w:t>
      </w:r>
    </w:p>
    <w:p w:rsidR="00000000" w:rsidDel="00000000" w:rsidP="00000000" w:rsidRDefault="00000000" w:rsidRPr="00000000" w14:paraId="00000091">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92">
      <w:pPr>
        <w:spacing w:after="160" w:lineRule="auto"/>
        <w:jc w:val="both"/>
        <w:rPr>
          <w:b w:val="0"/>
          <w:color w:val="000000"/>
          <w:shd w:fill="efefef" w:val="clear"/>
        </w:rPr>
      </w:pPr>
      <w:r w:rsidDel="00000000" w:rsidR="00000000" w:rsidRPr="00000000">
        <w:rPr>
          <w:b w:val="0"/>
          <w:color w:val="000000"/>
          <w:shd w:fill="efefef" w:val="clear"/>
          <w:rtl w:val="0"/>
        </w:rPr>
        <w:t xml:space="preserve">En el PdC refundido se incorpora una nueva acción N°5 “Inspección visual de suelo posterior al riego para verificar la no saturación de este”.</w:t>
      </w:r>
    </w:p>
    <w:p w:rsidR="00000000" w:rsidDel="00000000" w:rsidP="00000000" w:rsidRDefault="00000000" w:rsidRPr="00000000" w14:paraId="00000093">
      <w:pPr>
        <w:spacing w:after="160" w:lineRule="auto"/>
        <w:jc w:val="both"/>
        <w:rPr>
          <w:b w:val="0"/>
          <w:color w:val="000000"/>
          <w:shd w:fill="ffe599" w:val="clear"/>
        </w:rPr>
      </w:pPr>
      <w:r w:rsidDel="00000000" w:rsidR="00000000" w:rsidRPr="00000000">
        <w:rPr>
          <w:rtl w:val="0"/>
        </w:rPr>
      </w:r>
    </w:p>
    <w:p w:rsidR="00000000" w:rsidDel="00000000" w:rsidP="00000000" w:rsidRDefault="00000000" w:rsidRPr="00000000" w14:paraId="00000094">
      <w:pPr>
        <w:spacing w:after="160" w:lineRule="auto"/>
        <w:jc w:val="both"/>
        <w:rPr>
          <w:color w:val="000000"/>
        </w:rPr>
      </w:pPr>
      <w:r w:rsidDel="00000000" w:rsidR="00000000" w:rsidRPr="00000000">
        <w:rPr>
          <w:color w:val="000000"/>
          <w:rtl w:val="0"/>
        </w:rPr>
        <w:t xml:space="preserve">CARGO N* 2: "LOS RILES DESTINADOS A RIEGO EXCEDIERON LAS CONCENTRACIONES AUTORIZADAS PARA LOS PARÁMETROS CLORUROS, SULFATOS, SODIO PORCENTUAL, SÓLIDOS SUSPENDIDOS TOTALES Y PH</w:t>
      </w:r>
    </w:p>
    <w:p w:rsidR="00000000" w:rsidDel="00000000" w:rsidP="00000000" w:rsidRDefault="00000000" w:rsidRPr="00000000" w14:paraId="0000009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Observaciones relativas a la descripción de efectos del Cargo N° 2</w:t>
      </w:r>
    </w:p>
    <w:p w:rsidR="00000000" w:rsidDel="00000000" w:rsidP="00000000" w:rsidRDefault="00000000" w:rsidRPr="00000000" w14:paraId="00000096">
      <w:pPr>
        <w:spacing w:after="160" w:lineRule="auto"/>
        <w:jc w:val="both"/>
        <w:rPr>
          <w:color w:val="000000"/>
        </w:rPr>
      </w:pPr>
      <w:r w:rsidDel="00000000" w:rsidR="00000000" w:rsidRPr="00000000">
        <w:rPr>
          <w:color w:val="000000"/>
          <w:rtl w:val="0"/>
        </w:rPr>
        <w:t xml:space="preserve">18.En relación con el Anexo N° 2 del PdC "Análisis y estimación de posibles efectos ambientales. Cargo 2 (...)", junto con los Anexos N° 1 y N° 2 de la presentación complementaria de 8 de septiembre de 2022, deberán realizarse las siguientes correcciones y/o aclaraciones</w:t>
      </w:r>
    </w:p>
    <w:p w:rsidR="00000000" w:rsidDel="00000000" w:rsidP="00000000" w:rsidRDefault="00000000" w:rsidRPr="00000000" w14:paraId="0000009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Revisar y corregir Anexos en base a los antecedentes que se requieren</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Sobre la base de los análisis efectuados en estos informes, se debe elaborar una evaluación de las posibles causas de las excedencias de parámetros de la NCh. 1333, producto de la operación de Viña Undurraga. Si bien existe un correlato entre la presencia de sulfato en la calidad de las aguas subterráneas, ello no ocurre con los demás parámetros que se encuentran excedidos. En efecto, el Cloruro, Sodio Porcentual, </w:t>
      </w:r>
      <w:r w:rsidDel="00000000" w:rsidR="00000000" w:rsidRPr="00000000">
        <w:rPr>
          <w:color w:val="000000"/>
          <w:rtl w:val="0"/>
        </w:rPr>
        <w:t xml:space="preserve">Sólidos</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 Suspendidos Totales y pH forman parte de las excedencias y aún no resulta posible detectar en qué proceso de la operación de la Viña ellas se producen, razón por la cual el PdC no ha propuesto acciones concretas para hacerse cargo de esta infracción. A mayor abundamiento, el Anexo N° 1 de la presentación complementaria es explícito en señalar que la PTR corresponde a un proceso de lodos activos orientado a remover concentraciones de DBO, Nitrógeno Kjeldahl y Fósforo y adicionalmente coliformes fecales mediante desinfección, por lo que se desprende que los parámetros superados no cuentan actualmente con sistemas de remoción, indicando la existencia de "limitaciones que presenta este sistema, las cuales son propias de este tipo de tratamiento, tienen que ver con que no abate los parámetros químicos como sales y/o metales los cuales no sufren cambios en su concentración al transitar por este proceso". De este modo, para poder identificar e implementar acciones que resulten eficaces, resulta necesario contar con el análisis señalado, considerando por su parte que una modificación del sistema de tratamiento potencialmente puede conllevar el ingreso al SEIA.</w:t>
      </w:r>
    </w:p>
    <w:p w:rsidR="00000000" w:rsidDel="00000000" w:rsidP="00000000" w:rsidRDefault="00000000" w:rsidRPr="00000000" w14:paraId="00000099">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9A">
      <w:pPr>
        <w:spacing w:after="160" w:lineRule="auto"/>
        <w:jc w:val="both"/>
        <w:rPr>
          <w:b w:val="0"/>
          <w:color w:val="000000"/>
          <w:shd w:fill="efefef" w:val="clear"/>
        </w:rPr>
      </w:pPr>
      <w:r w:rsidDel="00000000" w:rsidR="00000000" w:rsidRPr="00000000">
        <w:rPr>
          <w:b w:val="0"/>
          <w:color w:val="000000"/>
          <w:shd w:fill="efefef" w:val="clear"/>
          <w:rtl w:val="0"/>
        </w:rPr>
        <w:t xml:space="preserve">Se incluyen acciones en el PdC refundido que dan cuenta que Viña Undurraga se encuentra “investigando” la procedencia en sus procesos que los contaminantes en exceso, de manera de poder controlar y disminuir  su aporte en el RIl. Para esto se está revisando todos los productos que participan en los procesos y sus concentración de manera de bajar dosis, o reemplazar por otro producto. Ee corresponde al primer paso, en caso de realizar cambios, estos serán plasmados en una planilla de control de parámetros críticos con resultados anteriores a la puesta en marcha de su implementación  y los resultados post mejora  o cambio de producto para evaluar en el tiempo el comportamiento de los parámetros y ver si esta medida propuesta permite controlar estos parámetros,</w:t>
      </w:r>
    </w:p>
    <w:p w:rsidR="00000000" w:rsidDel="00000000" w:rsidP="00000000" w:rsidRDefault="00000000" w:rsidRPr="00000000" w14:paraId="0000009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informes de seguimiento y complementar Anexo complementario</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relación con la Tabla 2 del Anexo N° 1 de la presentación complementaria, se solicita acompañar los informes de seguimiento en base a los cuales ella fue elaborada. Asimismo, se solicita precisar el enfoque de análisis de calidad de agua de los APR de la Región Metropolitana, indicando los resultados de aquellos sistemas más cercanos a Viña Undurraga, considerando que la Tabla 7 del Anexo N° 1 de la presentación complementaria aborda toda la Región Metropolitana.</w:t>
      </w:r>
    </w:p>
    <w:p w:rsidR="00000000" w:rsidDel="00000000" w:rsidP="00000000" w:rsidRDefault="00000000" w:rsidRPr="00000000" w14:paraId="0000009D">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9E">
      <w:pPr>
        <w:spacing w:after="160" w:lineRule="auto"/>
        <w:jc w:val="both"/>
        <w:rPr>
          <w:b w:val="0"/>
          <w:color w:val="000000"/>
          <w:shd w:fill="efefef" w:val="clear"/>
        </w:rPr>
      </w:pPr>
      <w:r w:rsidDel="00000000" w:rsidR="00000000" w:rsidRPr="00000000">
        <w:rPr>
          <w:b w:val="0"/>
          <w:color w:val="000000"/>
          <w:shd w:fill="efefef" w:val="clear"/>
          <w:rtl w:val="0"/>
        </w:rPr>
        <w:t xml:space="preserve">En el Anexo que da respuesta a la Res. EX N°3, se presentan los “Informes aguas subterráneas” de los informes de laboratorio e informes de seguimiento solicitados.</w:t>
      </w:r>
    </w:p>
    <w:p w:rsidR="00000000" w:rsidDel="00000000" w:rsidP="00000000" w:rsidRDefault="00000000" w:rsidRPr="00000000" w14:paraId="0000009F">
      <w:pPr>
        <w:spacing w:after="160" w:lineRule="auto"/>
        <w:jc w:val="both"/>
        <w:rPr>
          <w:b w:val="0"/>
          <w:color w:val="000000"/>
          <w:shd w:fill="ffe599" w:val="clear"/>
        </w:rPr>
      </w:pP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Analizar resultados de informes de RILEs y suelo del periodo señalado</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0"/>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cuanto al análisis de efectos que las excedencias habrían tenido sobre el componente suelo, si bien la visita a terreno de 11 de agosto de 2022 no se advirtieron concentraciones de sales o materia orgánica en el suelo, en algunos de los informes de análisis de suelo de Agrolab se han detectado altas</w:t>
      </w:r>
      <w:r w:rsidDel="00000000" w:rsidR="00000000" w:rsidRPr="00000000">
        <w:rPr>
          <w:rFonts w:ascii="Century Gothic" w:cs="Century Gothic" w:eastAsia="Century Gothic" w:hAnsi="Century Gothic"/>
          <w:b w:val="0"/>
          <w:i w:val="0"/>
          <w:smallCaps w:val="0"/>
          <w:strike w:val="0"/>
          <w:color w:val="000000"/>
          <w:sz w:val="22"/>
          <w:szCs w:val="22"/>
          <w:u w:val="none"/>
          <w:shd w:fill="auto" w:val="clear"/>
          <w:vertAlign w:val="baseline"/>
          <w:rtl w:val="0"/>
        </w:rPr>
        <w:t xml:space="preserve"> </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concentraciones de parámetros como Manganeso (2019 y 2020); Boro (2020 y 2021); Potasio disponible (2020) y Sodio (2020), tal como se indica en las Tablas 9 y 10 del Anexo N° 2 de la presentación complementaria. Al respecto, resulta necesario hacerse cargo del análisis de dichos resultados, específicamente, si ellos pudieran estar provocándose por las excedencias del efluente destinado a riego (Sulfato, Cloruro, Sodio Porcentual, SST y pH), las cuales estarían impidiendo la absorción de dichos compuestos por el suelo.</w:t>
      </w:r>
      <w:r w:rsidDel="00000000" w:rsidR="00000000" w:rsidRPr="00000000">
        <w:rPr>
          <w:rtl w:val="0"/>
        </w:rPr>
      </w:r>
    </w:p>
    <w:p w:rsidR="00000000" w:rsidDel="00000000" w:rsidP="00000000" w:rsidRDefault="00000000" w:rsidRPr="00000000" w14:paraId="000000A2">
      <w:pPr>
        <w:spacing w:after="160" w:lineRule="auto"/>
        <w:jc w:val="both"/>
        <w:rPr>
          <w:b w:val="0"/>
          <w:color w:val="000000"/>
        </w:rPr>
      </w:pPr>
      <w:r w:rsidDel="00000000" w:rsidR="00000000" w:rsidRPr="00000000">
        <w:rPr>
          <w:rtl w:val="0"/>
        </w:rPr>
      </w:r>
    </w:p>
    <w:p w:rsidR="00000000" w:rsidDel="00000000" w:rsidP="00000000" w:rsidRDefault="00000000" w:rsidRPr="00000000" w14:paraId="000000A3">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A4">
      <w:pPr>
        <w:spacing w:after="160" w:lineRule="auto"/>
        <w:jc w:val="both"/>
        <w:rPr>
          <w:b w:val="0"/>
          <w:color w:val="000000"/>
          <w:shd w:fill="efefef" w:val="clear"/>
        </w:rPr>
      </w:pPr>
      <w:r w:rsidDel="00000000" w:rsidR="00000000" w:rsidRPr="00000000">
        <w:rPr>
          <w:b w:val="0"/>
          <w:color w:val="000000"/>
          <w:shd w:fill="efefef" w:val="clear"/>
          <w:rtl w:val="0"/>
        </w:rPr>
        <w:t xml:space="preserve">En el Anexo 1.2 Informe Agronómico suelo se actualiza conforme a lo solicitado, descartando relación en el aumento de las excedencias con los parámetros Magnesio, Boros, Potasio disponible y Sodio.</w:t>
      </w:r>
    </w:p>
    <w:p w:rsidR="00000000" w:rsidDel="00000000" w:rsidP="00000000" w:rsidRDefault="00000000" w:rsidRPr="00000000" w14:paraId="000000A5">
      <w:pPr>
        <w:spacing w:after="160" w:lineRule="auto"/>
        <w:jc w:val="both"/>
        <w:rPr>
          <w:color w:val="000000"/>
          <w:shd w:fill="ffe599" w:val="clear"/>
        </w:rPr>
      </w:pP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Reportes de reclamo de olores</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Se debe indicar si como consecuencia de esta infracción se pudieron generar malos olores. Para efectuar este análisis, se solicita acompañar los reportes de reclamos por olores efectuados durante el período infraccional, con los que el titular cuenta a propósito del Plan de Gestión de olores, contemplado en la RCA 430/2020.</w:t>
      </w:r>
    </w:p>
    <w:p w:rsidR="00000000" w:rsidDel="00000000" w:rsidP="00000000" w:rsidRDefault="00000000" w:rsidRPr="00000000" w14:paraId="000000A8">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A9">
      <w:pPr>
        <w:spacing w:after="160" w:lineRule="auto"/>
        <w:jc w:val="both"/>
        <w:rPr>
          <w:color w:val="000000"/>
          <w:shd w:fill="efefef" w:val="clear"/>
        </w:rPr>
      </w:pPr>
      <w:r w:rsidDel="00000000" w:rsidR="00000000" w:rsidRPr="00000000">
        <w:rPr>
          <w:b w:val="0"/>
          <w:color w:val="000000"/>
          <w:shd w:fill="efefef" w:val="clear"/>
          <w:rtl w:val="0"/>
        </w:rPr>
        <w:t xml:space="preserve">No existen reportes de reclamos por olores efectuados durante el período infraccional. </w:t>
      </w: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Ver si hay afectación de suelo y proponer nuevas acciones</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Se reitera que, en caso de que el análisis de efectos reconozca algún tipo de afectación provocada por la infracción, el titular debe comprometer acciones que eliminen los efectos ocasionados y, solo justificada y excepcionalmente, contenerlos y reducirlos.</w:t>
      </w:r>
    </w:p>
    <w:p w:rsidR="00000000" w:rsidDel="00000000" w:rsidP="00000000" w:rsidRDefault="00000000" w:rsidRPr="00000000" w14:paraId="000000AC">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AD">
      <w:pPr>
        <w:spacing w:after="160" w:lineRule="auto"/>
        <w:jc w:val="both"/>
        <w:rPr>
          <w:b w:val="0"/>
          <w:color w:val="000000"/>
          <w:shd w:fill="efefef" w:val="clear"/>
        </w:rPr>
      </w:pPr>
      <w:r w:rsidDel="00000000" w:rsidR="00000000" w:rsidRPr="00000000">
        <w:rPr>
          <w:b w:val="0"/>
          <w:color w:val="000000"/>
          <w:shd w:fill="efefef" w:val="clear"/>
          <w:rtl w:val="0"/>
        </w:rPr>
        <w:t xml:space="preserve">Se descartan efectos negativos, resuelto en Anexo Minuta 1. </w:t>
      </w:r>
    </w:p>
    <w:p w:rsidR="00000000" w:rsidDel="00000000" w:rsidP="00000000" w:rsidRDefault="00000000" w:rsidRPr="00000000" w14:paraId="000000AE">
      <w:pPr>
        <w:spacing w:after="160" w:lineRule="auto"/>
        <w:jc w:val="both"/>
        <w:rPr>
          <w:b w:val="0"/>
          <w:color w:val="000000"/>
          <w:shd w:fill="ffe599" w:val="clear"/>
        </w:rPr>
      </w:pP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Observaciones relativas al plan de acciones y metas del Cargo N° 2</w:t>
      </w:r>
    </w:p>
    <w:p w:rsidR="00000000" w:rsidDel="00000000" w:rsidP="00000000" w:rsidRDefault="00000000" w:rsidRPr="00000000" w14:paraId="000000B0">
      <w:pPr>
        <w:spacing w:after="160" w:lineRule="auto"/>
        <w:jc w:val="both"/>
        <w:rPr>
          <w:color w:val="000000"/>
        </w:rPr>
      </w:pPr>
      <w:r w:rsidDel="00000000" w:rsidR="00000000" w:rsidRPr="00000000">
        <w:rPr>
          <w:color w:val="000000"/>
          <w:rtl w:val="0"/>
        </w:rPr>
        <w:t xml:space="preserve">19.Incluir en la sección "metas"</w:t>
      </w:r>
    </w:p>
    <w:p w:rsidR="00000000" w:rsidDel="00000000" w:rsidP="00000000" w:rsidRDefault="00000000" w:rsidRPr="00000000" w14:paraId="000000B1">
      <w:pPr>
        <w:spacing w:after="160" w:lineRule="auto"/>
        <w:jc w:val="both"/>
        <w:rPr>
          <w:color w:val="000000"/>
        </w:rPr>
      </w:pPr>
      <w:r w:rsidDel="00000000" w:rsidR="00000000" w:rsidRPr="00000000">
        <w:rPr>
          <w:color w:val="000000"/>
          <w:rtl w:val="0"/>
        </w:rPr>
        <w:t xml:space="preserve">En   cuanto   a   las   metas, se   debe   señalar expresamente que se dará cumplimiento a los considerandos N° 3 de la RCA N° 371/2008 y N° 7.13 de la RCA 430/2020.</w:t>
      </w:r>
    </w:p>
    <w:p w:rsidR="00000000" w:rsidDel="00000000" w:rsidP="00000000" w:rsidRDefault="00000000" w:rsidRPr="00000000" w14:paraId="000000B2">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B3">
      <w:pPr>
        <w:spacing w:after="160" w:lineRule="auto"/>
        <w:jc w:val="both"/>
        <w:rPr>
          <w:color w:val="000000"/>
          <w:shd w:fill="efefef" w:val="clear"/>
        </w:rPr>
      </w:pPr>
      <w:r w:rsidDel="00000000" w:rsidR="00000000" w:rsidRPr="00000000">
        <w:rPr>
          <w:b w:val="0"/>
          <w:color w:val="000000"/>
          <w:shd w:fill="efefef" w:val="clear"/>
          <w:rtl w:val="0"/>
        </w:rPr>
        <w:t xml:space="preserve">Se acoge la observación y se incorpora en la sección “metas” que se dará cumplimiento a los considerandos N° 3 de la RCA N° 371/2008 y N° 7.13 de la RCA 430/2020.</w:t>
      </w:r>
      <w:r w:rsidDel="00000000" w:rsidR="00000000" w:rsidRPr="00000000">
        <w:rPr>
          <w:rtl w:val="0"/>
        </w:rPr>
      </w:r>
    </w:p>
    <w:p w:rsidR="00000000" w:rsidDel="00000000" w:rsidP="00000000" w:rsidRDefault="00000000" w:rsidRPr="00000000" w14:paraId="000000B4">
      <w:pPr>
        <w:spacing w:after="160" w:lineRule="auto"/>
        <w:jc w:val="both"/>
        <w:rPr>
          <w:color w:val="000000"/>
        </w:rPr>
      </w:pPr>
      <w:r w:rsidDel="00000000" w:rsidR="00000000" w:rsidRPr="00000000">
        <w:rPr>
          <w:color w:val="000000"/>
          <w:rtl w:val="0"/>
        </w:rPr>
        <w:t xml:space="preserve">20.Respecto dé la acción N° 6 "Realizar recirculación de las aguas del tranque de manera permanente" (en ejecución), se solicita incorporar las siguientes observaciones:</w:t>
      </w:r>
    </w:p>
    <w:p w:rsidR="00000000" w:rsidDel="00000000" w:rsidP="00000000" w:rsidRDefault="00000000" w:rsidRPr="00000000" w14:paraId="000000B5">
      <w:pPr>
        <w:spacing w:after="160" w:lineRule="auto"/>
        <w:jc w:val="both"/>
        <w:rPr>
          <w:color w:val="000000"/>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Modificar la acción o eliminar</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Acción: la denominación de la acción refiere a su carácter permanente, pero en la forma de implementación se indica que se activa y desactiva diariamente la recirculación. Por lo tanto, se debe concordar esta situación, modificando la denominación de la acción de ser necesario.</w:t>
      </w:r>
    </w:p>
    <w:p w:rsidR="00000000" w:rsidDel="00000000" w:rsidP="00000000" w:rsidRDefault="00000000" w:rsidRPr="00000000" w14:paraId="000000B8">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B9">
      <w:pPr>
        <w:spacing w:after="160" w:lineRule="auto"/>
        <w:jc w:val="both"/>
        <w:rPr>
          <w:color w:val="000000"/>
        </w:rPr>
      </w:pPr>
      <w:r w:rsidDel="00000000" w:rsidR="00000000" w:rsidRPr="00000000">
        <w:rPr>
          <w:b w:val="0"/>
          <w:color w:val="000000"/>
          <w:shd w:fill="efefef" w:val="clear"/>
          <w:rtl w:val="0"/>
        </w:rPr>
        <w:t xml:space="preserve">En el PdC refundido se elimina la acción N°6  "Realizar recirculación de las aguas del tranque de manera permanente".</w:t>
      </w:r>
      <w:r w:rsidDel="00000000" w:rsidR="00000000" w:rsidRPr="00000000">
        <w:rPr>
          <w:b w:val="0"/>
          <w:color w:val="000000"/>
          <w:rtl w:val="0"/>
        </w:rPr>
        <w:t xml:space="preserve"> </w:t>
      </w: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Anexo nuevo</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se debe acompañar un anexo que especifique de manera detallada en qué consiste la medida de recirculación y si ella permite disminuir las excedencias de los parámetros de la NCh. 1333 que se encuentran excedidos.</w:t>
      </w:r>
    </w:p>
    <w:p w:rsidR="00000000" w:rsidDel="00000000" w:rsidP="00000000" w:rsidRDefault="00000000" w:rsidRPr="00000000" w14:paraId="000000BC">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BD">
      <w:pPr>
        <w:spacing w:after="160" w:lineRule="auto"/>
        <w:jc w:val="both"/>
        <w:rPr>
          <w:b w:val="0"/>
          <w:color w:val="000000"/>
          <w:shd w:fill="efefef" w:val="clear"/>
        </w:rPr>
      </w:pPr>
      <w:r w:rsidDel="00000000" w:rsidR="00000000" w:rsidRPr="00000000">
        <w:rPr>
          <w:b w:val="0"/>
          <w:color w:val="000000"/>
          <w:shd w:fill="efefef" w:val="clear"/>
          <w:rtl w:val="0"/>
        </w:rPr>
        <w:t xml:space="preserve">En el PdC refundido se elimina la acción N°6  "Realizar recirculación de las aguas del tranque de manera permanente". Por lo que no se incluye una minuta complementaria por este tema, según el análisis de este titular  la acción propuesta anteriormente no era eficaz.</w:t>
      </w:r>
    </w:p>
    <w:p w:rsidR="00000000" w:rsidDel="00000000" w:rsidP="00000000" w:rsidRDefault="00000000" w:rsidRPr="00000000" w14:paraId="000000BE">
      <w:pPr>
        <w:spacing w:after="160" w:lineRule="auto"/>
        <w:jc w:val="both"/>
        <w:rPr>
          <w:b w:val="0"/>
          <w:color w:val="000000"/>
          <w:shd w:fill="ffe599" w:val="clear"/>
        </w:rPr>
      </w:pPr>
      <w:r w:rsidDel="00000000" w:rsidR="00000000" w:rsidRPr="00000000">
        <w:rPr>
          <w:rtl w:val="0"/>
        </w:rPr>
      </w:r>
    </w:p>
    <w:p w:rsidR="00000000" w:rsidDel="00000000" w:rsidP="00000000" w:rsidRDefault="00000000" w:rsidRPr="00000000" w14:paraId="000000BF">
      <w:pPr>
        <w:spacing w:after="160" w:lineRule="auto"/>
        <w:jc w:val="both"/>
        <w:rPr>
          <w:color w:val="000000"/>
        </w:rPr>
      </w:pPr>
      <w:r w:rsidDel="00000000" w:rsidR="00000000" w:rsidRPr="00000000">
        <w:rPr>
          <w:color w:val="000000"/>
          <w:rtl w:val="0"/>
        </w:rPr>
        <w:t xml:space="preserve">21.Respecto de la acción N° 7 “Contar con un Diagnóstico de especialistas en PTR y propuestas de mejoras para el control de los parámetros excedidos de normativa (pH, SST, Cloruros, Sulfatos y Sodio porcentual) además de la evaluación de la PTR" </w:t>
        <w:tab/>
      </w:r>
    </w:p>
    <w:p w:rsidR="00000000" w:rsidDel="00000000" w:rsidP="00000000" w:rsidRDefault="00000000" w:rsidRPr="00000000" w14:paraId="000000C0">
      <w:pPr>
        <w:spacing w:after="160" w:lineRule="auto"/>
        <w:jc w:val="both"/>
        <w:rPr>
          <w:color w:val="000000"/>
        </w:rPr>
      </w:pPr>
      <w:r w:rsidDel="00000000" w:rsidR="00000000" w:rsidRPr="00000000">
        <w:rPr>
          <w:rtl w:val="0"/>
        </w:rPr>
      </w:r>
    </w:p>
    <w:p w:rsidR="00000000" w:rsidDel="00000000" w:rsidP="00000000" w:rsidRDefault="00000000" w:rsidRPr="00000000" w14:paraId="000000C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Actualizar las acciones en base al resultado del diagnóstico de la PTR</w:t>
      </w:r>
    </w:p>
    <w:p w:rsidR="00000000" w:rsidDel="00000000" w:rsidP="00000000" w:rsidRDefault="00000000" w:rsidRPr="00000000" w14:paraId="000000C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Respecto de la acción N° 7 “Contar con un Diagnóstico de especialistas en PTR y propuestas de mejoras para el control de los parámetros excedidos de normativa (pH, SST, Cloruros, Sulfatos y Sodio porcentual) además de la evaluación de la PTR" (en ejecución), se solicita acompañar este diagnóstico en la próxima versión del PdC, atendido que resulta fundamental para determinar las acciones que se deben implementar para retornar al cumplimiento. En otras palabras, en la próxima versión del PdC esta acción deberá ser reemplazada por aquellas que dicho diagnóstico proponga, de modo que el tratamiento de los Riles permita abatir los parámetros excedidos de la NCh. 1333. Al respecto, debe formar parte del análisis si las modificaciones a realizar incurren en una modificación de proyecto por "cambio de consideración", que requiera someterse al SEIA.</w:t>
      </w:r>
    </w:p>
    <w:p w:rsidR="00000000" w:rsidDel="00000000" w:rsidP="00000000" w:rsidRDefault="00000000" w:rsidRPr="00000000" w14:paraId="000000C3">
      <w:pPr>
        <w:spacing w:after="160" w:lineRule="auto"/>
        <w:jc w:val="both"/>
        <w:rPr>
          <w:b w:val="0"/>
          <w:color w:val="000000"/>
        </w:rPr>
      </w:pPr>
      <w:r w:rsidDel="00000000" w:rsidR="00000000" w:rsidRPr="00000000">
        <w:rPr>
          <w:rtl w:val="0"/>
        </w:rPr>
      </w:r>
    </w:p>
    <w:p w:rsidR="00000000" w:rsidDel="00000000" w:rsidP="00000000" w:rsidRDefault="00000000" w:rsidRPr="00000000" w14:paraId="000000C4">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C5">
      <w:pPr>
        <w:spacing w:after="160" w:lineRule="auto"/>
        <w:jc w:val="both"/>
        <w:rPr>
          <w:b w:val="0"/>
          <w:color w:val="000000"/>
          <w:highlight w:val="white"/>
        </w:rPr>
      </w:pPr>
      <w:r w:rsidDel="00000000" w:rsidR="00000000" w:rsidRPr="00000000">
        <w:rPr>
          <w:b w:val="0"/>
          <w:color w:val="000000"/>
          <w:highlight w:val="white"/>
          <w:rtl w:val="0"/>
        </w:rPr>
        <w:t xml:space="preserve">A la fecha de entrega  del PdC refundo no  es factible </w:t>
      </w:r>
      <w:r w:rsidDel="00000000" w:rsidR="00000000" w:rsidRPr="00000000">
        <w:rPr>
          <w:color w:val="000000"/>
          <w:rtl w:val="0"/>
        </w:rPr>
        <w:t xml:space="preserve">determinar las acciones que se deben implementar para retornar al cumplimiento en base al resultado de los tres diagnosticos.</w:t>
      </w:r>
      <w:r w:rsidDel="00000000" w:rsidR="00000000" w:rsidRPr="00000000">
        <w:rPr>
          <w:b w:val="0"/>
          <w:color w:val="000000"/>
          <w:highlight w:val="white"/>
          <w:rtl w:val="0"/>
        </w:rPr>
        <w:t xml:space="preserve">De los tres informes de Especialista hasta la fecha se cuenta solo con dos, el tercer informe que corresponde a la empresa Hidrocircular se encuentra con observaciones que debe rectificar la empresa, en Anexo 21 se presenta respuesta de empresa Hidrocircular comprometiendo fecha de entrega, además de las observaciones realizadas por el titular. Una vez que se cuente con el informe final de Hidrocircular se procederá a realizar Informe comparativo para se presentado en un Tengase presente a la autoridad. Es importante señalar  a la SMA que el informe de esta empresa es el único que consideró dentro del diagnóstico la toma de muestras lo cual podría ser un gran aporte a la hora de proponer nuevas acciones. No obstante a lo anterior Viña Undurraga incluye nuevas acciones que permitan desde nuestro punto de vista hacerse cargo de los parámetros que presentan excedencias.</w:t>
      </w:r>
    </w:p>
    <w:p w:rsidR="00000000" w:rsidDel="00000000" w:rsidP="00000000" w:rsidRDefault="00000000" w:rsidRPr="00000000" w14:paraId="000000C6">
      <w:pPr>
        <w:spacing w:after="160" w:lineRule="auto"/>
        <w:jc w:val="both"/>
        <w:rPr>
          <w:color w:val="000000"/>
        </w:rPr>
      </w:pPr>
      <w:r w:rsidDel="00000000" w:rsidR="00000000" w:rsidRPr="00000000">
        <w:rPr>
          <w:rtl w:val="0"/>
        </w:rPr>
      </w:r>
    </w:p>
    <w:p w:rsidR="00000000" w:rsidDel="00000000" w:rsidP="00000000" w:rsidRDefault="00000000" w:rsidRPr="00000000" w14:paraId="000000C7">
      <w:pPr>
        <w:spacing w:after="160" w:lineRule="auto"/>
        <w:jc w:val="both"/>
        <w:rPr>
          <w:color w:val="000000"/>
        </w:rPr>
      </w:pPr>
      <w:r w:rsidDel="00000000" w:rsidR="00000000" w:rsidRPr="00000000">
        <w:rPr>
          <w:color w:val="000000"/>
          <w:rtl w:val="0"/>
        </w:rPr>
        <w:t xml:space="preserve">22.Respecto   de   la   acción   N°   8   "Mantenciones preventivas y correctivas de equipos y unidades de la PTR para correcto funcionamiento” (en ejecución), se solicita incorporar las siguientes observaciones:</w:t>
        <w:tab/>
      </w:r>
    </w:p>
    <w:p w:rsidR="00000000" w:rsidDel="00000000" w:rsidP="00000000" w:rsidRDefault="00000000" w:rsidRPr="00000000" w14:paraId="000000C8">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Aumentar la frecuencia de las mantenciones de la PTR</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el PdC indica que dará cumplimiento al "Programa de mantención Planta de Riles" autorizado por la RCA N° 430/2020. Sin embargo, para que esta acción resulte eficaz se hace necesario que se proponga un aumento de frecuencia respecto de las mantenciones ya contempladas, especialmente respecto de aquellas que pudieran relacionarse con las excedencias de parámetros.</w:t>
      </w:r>
    </w:p>
    <w:p w:rsidR="00000000" w:rsidDel="00000000" w:rsidP="00000000" w:rsidRDefault="00000000" w:rsidRPr="00000000" w14:paraId="000000CA">
      <w:pPr>
        <w:spacing w:after="160" w:lineRule="auto"/>
        <w:jc w:val="both"/>
        <w:rPr>
          <w:b w:val="0"/>
          <w:color w:val="000000"/>
        </w:rPr>
      </w:pPr>
      <w:r w:rsidDel="00000000" w:rsidR="00000000" w:rsidRPr="00000000">
        <w:rPr>
          <w:rtl w:val="0"/>
        </w:rPr>
      </w:r>
    </w:p>
    <w:p w:rsidR="00000000" w:rsidDel="00000000" w:rsidP="00000000" w:rsidRDefault="00000000" w:rsidRPr="00000000" w14:paraId="000000CB">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CC">
      <w:pPr>
        <w:spacing w:after="160" w:lineRule="auto"/>
        <w:jc w:val="both"/>
        <w:rPr>
          <w:b w:val="0"/>
          <w:color w:val="000000"/>
        </w:rPr>
      </w:pPr>
      <w:r w:rsidDel="00000000" w:rsidR="00000000" w:rsidRPr="00000000">
        <w:rPr>
          <w:b w:val="0"/>
          <w:color w:val="000000"/>
          <w:rtl w:val="0"/>
        </w:rPr>
        <w:t xml:space="preserve">Se acoge la observación, en el PdC refundido, Acción N°10 se modifica a “Aumento de frecuencia del Programa de mantención Planta de Riles” .</w:t>
      </w:r>
      <w:r w:rsidDel="00000000" w:rsidR="00000000" w:rsidRPr="00000000">
        <w:rPr>
          <w:rtl w:val="0"/>
        </w:rPr>
      </w:r>
    </w:p>
    <w:p w:rsidR="00000000" w:rsidDel="00000000" w:rsidP="00000000" w:rsidRDefault="00000000" w:rsidRPr="00000000" w14:paraId="000000CD">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Corregir indicador</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Indicador de cumplimiento: se debe corregir el indicador de cumplimiento, de manera que permita ponderar el avance o ejecución completa de la acción. Al indicar "correcto funcionamiento de la Planta de Tratamiento" no se aporta ninguna variable que pueda ser ponderada para determinar lo señalado.</w:t>
      </w:r>
    </w:p>
    <w:p w:rsidR="00000000" w:rsidDel="00000000" w:rsidP="00000000" w:rsidRDefault="00000000" w:rsidRPr="00000000" w14:paraId="000000CF">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D0">
      <w:pPr>
        <w:spacing w:after="160" w:lineRule="auto"/>
        <w:jc w:val="both"/>
        <w:rPr>
          <w:b w:val="0"/>
          <w:color w:val="000000"/>
        </w:rPr>
      </w:pPr>
      <w:r w:rsidDel="00000000" w:rsidR="00000000" w:rsidRPr="00000000">
        <w:rPr>
          <w:b w:val="0"/>
          <w:color w:val="000000"/>
          <w:rtl w:val="0"/>
        </w:rPr>
        <w:t xml:space="preserve">En el PdC refundido se modifica el indicador de cumplimiento de la Acción N°10 a “Check list de mantención completa en tiempo y forma”. </w:t>
      </w: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Costos</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Debe indicar los costos estimados para la ejecución de esta acción.</w:t>
      </w:r>
    </w:p>
    <w:p w:rsidR="00000000" w:rsidDel="00000000" w:rsidP="00000000" w:rsidRDefault="00000000" w:rsidRPr="00000000" w14:paraId="000000D3">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D4">
      <w:pPr>
        <w:spacing w:after="160" w:lineRule="auto"/>
        <w:jc w:val="both"/>
        <w:rPr>
          <w:b w:val="0"/>
          <w:color w:val="000000"/>
        </w:rPr>
      </w:pPr>
      <w:r w:rsidDel="00000000" w:rsidR="00000000" w:rsidRPr="00000000">
        <w:rPr>
          <w:b w:val="0"/>
          <w:color w:val="000000"/>
          <w:rtl w:val="0"/>
        </w:rPr>
        <w:t xml:space="preserve">Se añaden costos estimados de ejecución de la acción actualizada N°10 en el PdC refundido.</w:t>
      </w:r>
      <w:r w:rsidDel="00000000" w:rsidR="00000000" w:rsidRPr="00000000">
        <w:rPr>
          <w:rtl w:val="0"/>
        </w:rPr>
      </w:r>
    </w:p>
    <w:p w:rsidR="00000000" w:rsidDel="00000000" w:rsidP="00000000" w:rsidRDefault="00000000" w:rsidRPr="00000000" w14:paraId="000000D5">
      <w:pPr>
        <w:spacing w:after="160" w:lineRule="auto"/>
        <w:jc w:val="both"/>
        <w:rPr>
          <w:color w:val="000000"/>
        </w:rPr>
      </w:pPr>
      <w:r w:rsidDel="00000000" w:rsidR="00000000" w:rsidRPr="00000000">
        <w:rPr>
          <w:color w:val="000000"/>
          <w:rtl w:val="0"/>
        </w:rPr>
        <w:t xml:space="preserve">23.Respecto de la acción N° 9 "Disminuir la acumulación de SST en el Ril Crudo, realizando reemplazo de canaletas para ayudar en el flujo y limpieza de los residuos" (en ejecución), se solicita incorporar las siguientes observaciones:</w:t>
        <w:tab/>
      </w:r>
    </w:p>
    <w:p w:rsidR="00000000" w:rsidDel="00000000" w:rsidP="00000000" w:rsidRDefault="00000000" w:rsidRPr="00000000" w14:paraId="000000D6">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Modificar la forma de implementación. Posible cambio de acción</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se debe explicar de qué manera el cambio de las canaletas y tamizado resulta eficaz para disminuir la concentración de SST y en qué magnitud se estima que ello ocurrirá, de manera de poder ponderar la eficacia de esta acción. Se debe tener presente que el Anexo N° 2 de la presentación complementaria, define las fuentes de RILes, siendo estas, las actividades de limpieza, tales como: lavado de cubas de fermentación, barricas, bodegas, embotellado y purgas del proceso de enfriamiento, por lo que se estima que la implementación de medidas en etapas de generación y pre tratamiento serán eficaces si se enfocan en cada una de las fuentes de generación.</w:t>
      </w:r>
    </w:p>
    <w:p w:rsidR="00000000" w:rsidDel="00000000" w:rsidP="00000000" w:rsidRDefault="00000000" w:rsidRPr="00000000" w14:paraId="000000D8">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D9">
      <w:pPr>
        <w:spacing w:after="160" w:lineRule="auto"/>
        <w:jc w:val="both"/>
        <w:rPr>
          <w:b w:val="0"/>
          <w:color w:val="000000"/>
        </w:rPr>
      </w:pPr>
      <w:r w:rsidDel="00000000" w:rsidR="00000000" w:rsidRPr="00000000">
        <w:rPr>
          <w:b w:val="0"/>
          <w:color w:val="000000"/>
          <w:rtl w:val="0"/>
        </w:rPr>
        <w:t xml:space="preserve">El cambio de las canaletas  se propone por que las existentes son desde que existe la viña, y se quieren ir reemplazando por unas con mejor tecnología que disminuyan al máximo la posibilidad de acumular sólidos suspendidos totales o que por su propia naturaleza  sean una fuente de aporte de contaminantes.</w:t>
      </w:r>
    </w:p>
    <w:p w:rsidR="00000000" w:rsidDel="00000000" w:rsidP="00000000" w:rsidRDefault="00000000" w:rsidRPr="00000000" w14:paraId="000000DA">
      <w:pPr>
        <w:spacing w:after="160" w:lineRule="auto"/>
        <w:jc w:val="both"/>
        <w:rPr>
          <w:b w:val="0"/>
          <w:color w:val="000000"/>
        </w:rPr>
      </w:pPr>
      <w:r w:rsidDel="00000000" w:rsidR="00000000" w:rsidRPr="00000000">
        <w:rPr>
          <w:b w:val="0"/>
          <w:color w:val="000000"/>
          <w:rtl w:val="0"/>
        </w:rPr>
        <w:t xml:space="preserve">1.- Son Atóxicas, no aportan nada al ril que fluye por ellas</w:t>
      </w:r>
    </w:p>
    <w:p w:rsidR="00000000" w:rsidDel="00000000" w:rsidP="00000000" w:rsidRDefault="00000000" w:rsidRPr="00000000" w14:paraId="000000DB">
      <w:pPr>
        <w:spacing w:after="160" w:lineRule="auto"/>
        <w:jc w:val="both"/>
        <w:rPr>
          <w:b w:val="0"/>
          <w:color w:val="000000"/>
        </w:rPr>
      </w:pPr>
      <w:r w:rsidDel="00000000" w:rsidR="00000000" w:rsidRPr="00000000">
        <w:rPr>
          <w:b w:val="0"/>
          <w:color w:val="000000"/>
          <w:rtl w:val="0"/>
        </w:rPr>
        <w:t xml:space="preserve">2.- No tienen ni desprenden ningún tipo de olor</w:t>
      </w:r>
    </w:p>
    <w:p w:rsidR="00000000" w:rsidDel="00000000" w:rsidP="00000000" w:rsidRDefault="00000000" w:rsidRPr="00000000" w14:paraId="000000DC">
      <w:pPr>
        <w:spacing w:after="160" w:lineRule="auto"/>
        <w:jc w:val="both"/>
        <w:rPr>
          <w:b w:val="0"/>
          <w:color w:val="000000"/>
        </w:rPr>
      </w:pPr>
      <w:r w:rsidDel="00000000" w:rsidR="00000000" w:rsidRPr="00000000">
        <w:rPr>
          <w:b w:val="0"/>
          <w:color w:val="000000"/>
          <w:rtl w:val="0"/>
        </w:rPr>
        <w:t xml:space="preserve">3.- Son resistentes a choques térmicos, calor y humedad (no absorbe agua ni </w:t>
      </w:r>
    </w:p>
    <w:p w:rsidR="00000000" w:rsidDel="00000000" w:rsidP="00000000" w:rsidRDefault="00000000" w:rsidRPr="00000000" w14:paraId="000000DD">
      <w:pPr>
        <w:spacing w:after="160" w:lineRule="auto"/>
        <w:jc w:val="both"/>
        <w:rPr>
          <w:b w:val="0"/>
          <w:color w:val="000000"/>
        </w:rPr>
      </w:pPr>
      <w:r w:rsidDel="00000000" w:rsidR="00000000" w:rsidRPr="00000000">
        <w:rPr>
          <w:b w:val="0"/>
          <w:color w:val="000000"/>
          <w:rtl w:val="0"/>
        </w:rPr>
        <w:t xml:space="preserve">ningún otro tipo de líquidos)</w:t>
      </w:r>
    </w:p>
    <w:p w:rsidR="00000000" w:rsidDel="00000000" w:rsidP="00000000" w:rsidRDefault="00000000" w:rsidRPr="00000000" w14:paraId="000000DE">
      <w:pPr>
        <w:spacing w:after="160" w:lineRule="auto"/>
        <w:jc w:val="both"/>
        <w:rPr>
          <w:b w:val="0"/>
          <w:color w:val="000000"/>
        </w:rPr>
      </w:pPr>
      <w:r w:rsidDel="00000000" w:rsidR="00000000" w:rsidRPr="00000000">
        <w:rPr>
          <w:b w:val="0"/>
          <w:color w:val="000000"/>
          <w:rtl w:val="0"/>
        </w:rPr>
        <w:t xml:space="preserve">4.- Poseen escasa rugosidad, condición que se mantiene en el tiempo, dada su </w:t>
      </w:r>
    </w:p>
    <w:p w:rsidR="00000000" w:rsidDel="00000000" w:rsidP="00000000" w:rsidRDefault="00000000" w:rsidRPr="00000000" w14:paraId="000000DF">
      <w:pPr>
        <w:spacing w:after="160" w:lineRule="auto"/>
        <w:jc w:val="both"/>
        <w:rPr>
          <w:b w:val="0"/>
          <w:color w:val="000000"/>
        </w:rPr>
      </w:pPr>
      <w:r w:rsidDel="00000000" w:rsidR="00000000" w:rsidRPr="00000000">
        <w:rPr>
          <w:b w:val="0"/>
          <w:color w:val="000000"/>
          <w:rtl w:val="0"/>
        </w:rPr>
        <w:t xml:space="preserve">resistencia al desgaste, lo que no permite retención de ningún tipo de materia o </w:t>
      </w:r>
    </w:p>
    <w:p w:rsidR="00000000" w:rsidDel="00000000" w:rsidP="00000000" w:rsidRDefault="00000000" w:rsidRPr="00000000" w14:paraId="000000E0">
      <w:pPr>
        <w:spacing w:after="160" w:lineRule="auto"/>
        <w:jc w:val="both"/>
        <w:rPr>
          <w:b w:val="0"/>
          <w:color w:val="000000"/>
        </w:rPr>
      </w:pPr>
      <w:r w:rsidDel="00000000" w:rsidR="00000000" w:rsidRPr="00000000">
        <w:rPr>
          <w:b w:val="0"/>
          <w:color w:val="000000"/>
          <w:rtl w:val="0"/>
        </w:rPr>
        <w:t xml:space="preserve">material, mejorando las condiciones de evacuación hidráulica</w:t>
      </w:r>
    </w:p>
    <w:p w:rsidR="00000000" w:rsidDel="00000000" w:rsidP="00000000" w:rsidRDefault="00000000" w:rsidRPr="00000000" w14:paraId="000000E1">
      <w:pPr>
        <w:spacing w:after="160" w:lineRule="auto"/>
        <w:jc w:val="both"/>
        <w:rPr>
          <w:b w:val="0"/>
          <w:color w:val="000000"/>
        </w:rPr>
      </w:pPr>
      <w:r w:rsidDel="00000000" w:rsidR="00000000" w:rsidRPr="00000000">
        <w:rPr>
          <w:b w:val="0"/>
          <w:color w:val="000000"/>
          <w:rtl w:val="0"/>
        </w:rPr>
        <w:t xml:space="preserve">5.-Resistentes a ácidos, solventes, alcalinos y al desgaste esto último es una gran </w:t>
      </w:r>
    </w:p>
    <w:p w:rsidR="00000000" w:rsidDel="00000000" w:rsidP="00000000" w:rsidRDefault="00000000" w:rsidRPr="00000000" w14:paraId="000000E2">
      <w:pPr>
        <w:spacing w:after="160" w:lineRule="auto"/>
        <w:jc w:val="both"/>
        <w:rPr>
          <w:b w:val="0"/>
          <w:color w:val="000000"/>
        </w:rPr>
      </w:pPr>
      <w:r w:rsidDel="00000000" w:rsidR="00000000" w:rsidRPr="00000000">
        <w:rPr>
          <w:b w:val="0"/>
          <w:color w:val="000000"/>
          <w:rtl w:val="0"/>
        </w:rPr>
        <w:t xml:space="preserve">ventaja respecto de las canaletas de hormigón, las que al descomponerse en sus </w:t>
      </w:r>
    </w:p>
    <w:p w:rsidR="00000000" w:rsidDel="00000000" w:rsidP="00000000" w:rsidRDefault="00000000" w:rsidRPr="00000000" w14:paraId="000000E3">
      <w:pPr>
        <w:spacing w:after="160" w:lineRule="auto"/>
        <w:jc w:val="both"/>
        <w:rPr>
          <w:b w:val="0"/>
          <w:color w:val="000000"/>
        </w:rPr>
      </w:pPr>
      <w:r w:rsidDel="00000000" w:rsidR="00000000" w:rsidRPr="00000000">
        <w:rPr>
          <w:b w:val="0"/>
          <w:color w:val="000000"/>
          <w:rtl w:val="0"/>
        </w:rPr>
        <w:t xml:space="preserve">elementos básico (arena) esta,  termina siendo arrastrada hasta los sistemas de </w:t>
      </w:r>
    </w:p>
    <w:p w:rsidR="00000000" w:rsidDel="00000000" w:rsidP="00000000" w:rsidRDefault="00000000" w:rsidRPr="00000000" w14:paraId="000000E4">
      <w:pPr>
        <w:spacing w:after="160" w:lineRule="auto"/>
        <w:jc w:val="both"/>
        <w:rPr>
          <w:b w:val="0"/>
          <w:color w:val="000000"/>
        </w:rPr>
      </w:pPr>
      <w:r w:rsidDel="00000000" w:rsidR="00000000" w:rsidRPr="00000000">
        <w:rPr>
          <w:b w:val="0"/>
          <w:color w:val="000000"/>
          <w:rtl w:val="0"/>
        </w:rPr>
        <w:t xml:space="preserve">tratamiento de riles, generando condiciones anóxicas con todos los problemas que </w:t>
      </w:r>
    </w:p>
    <w:p w:rsidR="00000000" w:rsidDel="00000000" w:rsidP="00000000" w:rsidRDefault="00000000" w:rsidRPr="00000000" w14:paraId="000000E5">
      <w:pPr>
        <w:spacing w:after="160" w:lineRule="auto"/>
        <w:jc w:val="both"/>
        <w:rPr>
          <w:b w:val="0"/>
          <w:color w:val="000000"/>
        </w:rPr>
      </w:pPr>
      <w:r w:rsidDel="00000000" w:rsidR="00000000" w:rsidRPr="00000000">
        <w:rPr>
          <w:b w:val="0"/>
          <w:color w:val="000000"/>
          <w:rtl w:val="0"/>
        </w:rPr>
        <w:t xml:space="preserve">esto conlleva.</w:t>
      </w:r>
    </w:p>
    <w:p w:rsidR="00000000" w:rsidDel="00000000" w:rsidP="00000000" w:rsidRDefault="00000000" w:rsidRPr="00000000" w14:paraId="000000E6">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Modificar plazo de ejecución</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Plazo de ejecución: al señalar que el término de la acción será "Durante toda la vigencia del PdC" no se entiende si se ejecutará periódicamente o es una cuestión que se realizará una sola vez, lo que se debe aclarar. Si se va a realizar una sola vez se debe indicar el plazo en el que ello ocurrirá, si será ejecutada durante toda la vigencia del PdC, se debe indicar la frecuencia con la que se realizará el cambio de canaletas y de tamizado.</w:t>
      </w:r>
    </w:p>
    <w:p w:rsidR="00000000" w:rsidDel="00000000" w:rsidP="00000000" w:rsidRDefault="00000000" w:rsidRPr="00000000" w14:paraId="000000E8">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E9">
      <w:pPr>
        <w:spacing w:after="160" w:lineRule="auto"/>
        <w:jc w:val="both"/>
        <w:rPr>
          <w:b w:val="0"/>
          <w:color w:val="000000"/>
        </w:rPr>
      </w:pPr>
      <w:r w:rsidDel="00000000" w:rsidR="00000000" w:rsidRPr="00000000">
        <w:rPr>
          <w:b w:val="0"/>
          <w:color w:val="000000"/>
          <w:rtl w:val="0"/>
        </w:rPr>
        <w:t xml:space="preserve">Se corrige en el PdC refundido, y se aclara que efectivamente fue un error de tipeo</w:t>
      </w:r>
    </w:p>
    <w:p w:rsidR="00000000" w:rsidDel="00000000" w:rsidP="00000000" w:rsidRDefault="00000000" w:rsidRPr="00000000" w14:paraId="000000EA">
      <w:pPr>
        <w:spacing w:after="160" w:lineRule="auto"/>
        <w:jc w:val="both"/>
        <w:rPr>
          <w:color w:val="000000"/>
        </w:rPr>
      </w:pPr>
      <w:r w:rsidDel="00000000" w:rsidR="00000000" w:rsidRPr="00000000">
        <w:rPr>
          <w:color w:val="000000"/>
          <w:rtl w:val="0"/>
        </w:rPr>
        <w:t xml:space="preserve">24. Respecto de la acción N° 10 "Definición de Punto de muestreo del Efluente destinado a riego, ubicado en cámara de captación. El cual contará con Coordenadas Geográficas WGS 84 y el Huso" se solicita aclarar:</w:t>
        <w:tab/>
      </w:r>
    </w:p>
    <w:p w:rsidR="00000000" w:rsidDel="00000000" w:rsidP="00000000" w:rsidRDefault="00000000" w:rsidRPr="00000000" w14:paraId="000000EB">
      <w:pPr>
        <w:spacing w:after="160" w:lineRule="auto"/>
        <w:jc w:val="both"/>
        <w:rPr>
          <w:color w:val="00000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Respecto de la acción N° 10 "Definición de Punto de muestreo del Efluente destinado a riego, ubicado en cámara de captación. El cual contará con Coordenadas Geográficas WGS 84 y el Huso" (en ejecución), se solicita aclarar en qué medida esta acción resulta eficaz para retornar al cumplimiento. En efecto, según su redacción el punto de muestreo ya cuenta con una ubicación en la cámara de captación, de manera que las coordenadas se pueden obtener fácilmente. De confirmarse que no significa ningún aporte al cumplimiento ambiental, se sugiere eliminar esta acción y reemplazarla por otra(s) que busquen abatir los parámetros de la NCh. 1333 que se encuentran excedidos.</w:t>
      </w:r>
    </w:p>
    <w:p w:rsidR="00000000" w:rsidDel="00000000" w:rsidP="00000000" w:rsidRDefault="00000000" w:rsidRPr="00000000" w14:paraId="000000ED">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EE">
      <w:pPr>
        <w:spacing w:after="160" w:lineRule="auto"/>
        <w:jc w:val="both"/>
        <w:rPr>
          <w:b w:val="0"/>
          <w:color w:val="000000"/>
        </w:rPr>
      </w:pPr>
      <w:r w:rsidDel="00000000" w:rsidR="00000000" w:rsidRPr="00000000">
        <w:rPr>
          <w:b w:val="0"/>
          <w:color w:val="000000"/>
          <w:rtl w:val="0"/>
        </w:rPr>
        <w:t xml:space="preserve">Se acoge observación y se elimina la acción N°10 en el PdC refundido.</w:t>
      </w:r>
      <w:r w:rsidDel="00000000" w:rsidR="00000000" w:rsidRPr="00000000">
        <w:rPr>
          <w:rtl w:val="0"/>
        </w:rPr>
      </w:r>
    </w:p>
    <w:p w:rsidR="00000000" w:rsidDel="00000000" w:rsidP="00000000" w:rsidRDefault="00000000" w:rsidRPr="00000000" w14:paraId="000000EF">
      <w:pPr>
        <w:spacing w:after="160" w:lineRule="auto"/>
        <w:jc w:val="both"/>
        <w:rPr>
          <w:color w:val="000000"/>
        </w:rPr>
      </w:pPr>
      <w:r w:rsidDel="00000000" w:rsidR="00000000" w:rsidRPr="00000000">
        <w:rPr>
          <w:color w:val="000000"/>
          <w:rtl w:val="0"/>
        </w:rPr>
        <w:t xml:space="preserve">25.Respecto de la acción N° 11 “Realización de estudio de calidad de suelos por profesional agronómico” (en ejecución), se solicita incorporar las siguientes observaciones:</w:t>
        <w:tab/>
      </w:r>
    </w:p>
    <w:p w:rsidR="00000000" w:rsidDel="00000000" w:rsidP="00000000" w:rsidRDefault="00000000" w:rsidRPr="00000000" w14:paraId="000000F0">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el informe agronómico, para resultar de utilidad en cuanto a ponderar los efectos de la infracción, debe considerar cuestiones como la permeabilidad y tasa de absorción identificable en el suelo.</w:t>
      </w:r>
    </w:p>
    <w:p w:rsidR="00000000" w:rsidDel="00000000" w:rsidP="00000000" w:rsidRDefault="00000000" w:rsidRPr="00000000" w14:paraId="000000F1">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 </w:t>
      </w:r>
    </w:p>
    <w:p w:rsidR="00000000" w:rsidDel="00000000" w:rsidP="00000000" w:rsidRDefault="00000000" w:rsidRPr="00000000" w14:paraId="000000F2">
      <w:pPr>
        <w:spacing w:after="160" w:lineRule="auto"/>
        <w:jc w:val="both"/>
        <w:rPr>
          <w:b w:val="0"/>
          <w:color w:val="000000"/>
          <w:shd w:fill="f3f3f3" w:val="clear"/>
        </w:rPr>
      </w:pPr>
      <w:r w:rsidDel="00000000" w:rsidR="00000000" w:rsidRPr="00000000">
        <w:rPr>
          <w:b w:val="0"/>
          <w:color w:val="000000"/>
          <w:shd w:fill="f3f3f3" w:val="clear"/>
          <w:rtl w:val="0"/>
        </w:rPr>
        <w:t xml:space="preserve">Se complementa el informe agronómico e incorpora un análisis de permeabilidad y tasa de absorción, para evaluar el eventual efecto negativo sobre el suelo. Y en cuanto a la acción propuesta “</w:t>
      </w:r>
      <w:r w:rsidDel="00000000" w:rsidR="00000000" w:rsidRPr="00000000">
        <w:rPr>
          <w:b w:val="0"/>
          <w:color w:val="000000"/>
          <w:rtl w:val="0"/>
        </w:rPr>
        <w:t xml:space="preserve">Realización de estudio de calidad de suelos por profesional agronómico” en la versión anterior del PdC  se presentó (en ejecución), y en el PdC refundido se modifica a por ejecutar.</w:t>
      </w:r>
      <w:r w:rsidDel="00000000" w:rsidR="00000000" w:rsidRPr="00000000">
        <w:rPr>
          <w:rtl w:val="0"/>
        </w:rPr>
      </w:r>
    </w:p>
    <w:p w:rsidR="00000000" w:rsidDel="00000000" w:rsidP="00000000" w:rsidRDefault="00000000" w:rsidRPr="00000000" w14:paraId="000000F3">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Plazo de ejecución: considerando que este informe es necesario para la determinación de los efectos sobre el suelo, no puede tener un plazo de ejecución de 7 meses desde la aprobación del PdC. Al contrario, su análisis resulta fundamental para determinar la aprobación o rechazo del PdC, por lo que se solicita que se acompañe a una próxima versión del PdC.</w:t>
      </w:r>
    </w:p>
    <w:p w:rsidR="00000000" w:rsidDel="00000000" w:rsidP="00000000" w:rsidRDefault="00000000" w:rsidRPr="00000000" w14:paraId="000000F4">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F5">
      <w:pPr>
        <w:spacing w:after="160" w:lineRule="auto"/>
        <w:jc w:val="both"/>
        <w:rPr>
          <w:b w:val="0"/>
          <w:color w:val="000000"/>
        </w:rPr>
      </w:pPr>
      <w:r w:rsidDel="00000000" w:rsidR="00000000" w:rsidRPr="00000000">
        <w:rPr>
          <w:b w:val="0"/>
          <w:color w:val="000000"/>
          <w:rtl w:val="0"/>
        </w:rPr>
        <w:t xml:space="preserve">Se acoge observación y el plazo de ejecución se modifica en el PdC refundido. Se acompaña el Informe Agronómico actualizado.  </w:t>
      </w:r>
    </w:p>
    <w:p w:rsidR="00000000" w:rsidDel="00000000" w:rsidP="00000000" w:rsidRDefault="00000000" w:rsidRPr="00000000" w14:paraId="000000F6">
      <w:pPr>
        <w:spacing w:after="160" w:lineRule="auto"/>
        <w:jc w:val="both"/>
        <w:rPr>
          <w:color w:val="000000"/>
        </w:rPr>
      </w:pPr>
      <w:r w:rsidDel="00000000" w:rsidR="00000000" w:rsidRPr="00000000">
        <w:rPr>
          <w:color w:val="000000"/>
          <w:rtl w:val="0"/>
        </w:rPr>
        <w:t xml:space="preserve">26. Respecto de la acción N° 12 Implementar monitoreo anual de suelo, incluyendo todos los parámetros comprometidos en la Adenda de la DIA que aprueba el proyecto Viña Undurraga Talagante (...)" (en ejecución), se solicita incorporar las siguientes observaciones:</w:t>
        <w:tab/>
      </w:r>
    </w:p>
    <w:p w:rsidR="00000000" w:rsidDel="00000000" w:rsidP="00000000" w:rsidRDefault="00000000" w:rsidRPr="00000000" w14:paraId="000000F7">
      <w:pPr>
        <w:spacing w:after="160" w:lineRule="auto"/>
        <w:jc w:val="both"/>
        <w:rPr>
          <w:color w:val="00000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Efectuar monitoreo de suelo complementario</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el informe agronómico, para resultar de utilidad en cuanto a ponderar los efectos de la infracción, debe considerar cuestiones como la permeabilidad y tasa de absorción identificable en el suelo.</w:t>
      </w:r>
    </w:p>
    <w:p w:rsidR="00000000" w:rsidDel="00000000" w:rsidP="00000000" w:rsidRDefault="00000000" w:rsidRPr="00000000" w14:paraId="000000FA">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FB">
      <w:pPr>
        <w:spacing w:after="160" w:lineRule="auto"/>
        <w:jc w:val="both"/>
        <w:rPr>
          <w:b w:val="0"/>
          <w:color w:val="000000"/>
          <w:shd w:fill="f3f3f3" w:val="clear"/>
        </w:rPr>
      </w:pPr>
      <w:r w:rsidDel="00000000" w:rsidR="00000000" w:rsidRPr="00000000">
        <w:rPr>
          <w:b w:val="0"/>
          <w:color w:val="000000"/>
          <w:shd w:fill="f3f3f3" w:val="clear"/>
          <w:rtl w:val="0"/>
        </w:rPr>
        <w:t xml:space="preserve">Se acoge observación y se acompaña en el PdC refundido, Se incluye minuta que da cuenta del análisis de los resultados del monitoreo de suelo que contemplan la permeabilidad y tasa de absorción.</w:t>
      </w:r>
    </w:p>
    <w:p w:rsidR="00000000" w:rsidDel="00000000" w:rsidP="00000000" w:rsidRDefault="00000000" w:rsidRPr="00000000" w14:paraId="000000FC">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Efectuar monitoreo de suelo complementario</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Plazo de ejecución: considerando que este informe es necesario para la determinación de los efectos sobre el suelo, no puede tener un plazo de ejecución de 7 meses desde la aprobación del PdC. Al contrario, su análisis resulta fundamental para determinar la aprobación o rechazo del PdC, por lo que se solicita que se acompañe a una próxima versión del PdC.</w:t>
      </w:r>
    </w:p>
    <w:p w:rsidR="00000000" w:rsidDel="00000000" w:rsidP="00000000" w:rsidRDefault="00000000" w:rsidRPr="00000000" w14:paraId="000000FE">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0FF">
      <w:pPr>
        <w:spacing w:after="160" w:lineRule="auto"/>
        <w:jc w:val="both"/>
        <w:rPr>
          <w:color w:val="000000"/>
          <w:shd w:fill="efefef" w:val="clear"/>
        </w:rPr>
      </w:pPr>
      <w:r w:rsidDel="00000000" w:rsidR="00000000" w:rsidRPr="00000000">
        <w:rPr>
          <w:b w:val="0"/>
          <w:color w:val="000000"/>
          <w:shd w:fill="efefef" w:val="clear"/>
          <w:rtl w:val="0"/>
        </w:rPr>
        <w:t xml:space="preserve">En el PdC refundido se adjunta  el análisis de monitoreo de suelo de la acción. Y a su vez se mantiene la acción, de manera de contar con la mayor cantidad de información, junto con ello lo que se quiere además es unificar el periodo en que se realiza, así como fijar los parámetros a monitorear.</w:t>
      </w:r>
      <w:r w:rsidDel="00000000" w:rsidR="00000000" w:rsidRPr="00000000">
        <w:rPr>
          <w:rtl w:val="0"/>
        </w:rPr>
      </w:r>
    </w:p>
    <w:p w:rsidR="00000000" w:rsidDel="00000000" w:rsidP="00000000" w:rsidRDefault="00000000" w:rsidRPr="00000000" w14:paraId="00000100">
      <w:pPr>
        <w:spacing w:after="160" w:lineRule="auto"/>
        <w:jc w:val="both"/>
        <w:rPr>
          <w:color w:val="000000"/>
        </w:rPr>
      </w:pPr>
      <w:r w:rsidDel="00000000" w:rsidR="00000000" w:rsidRPr="00000000">
        <w:rPr>
          <w:color w:val="000000"/>
          <w:rtl w:val="0"/>
        </w:rPr>
        <w:t xml:space="preserve">27. Proponer acciones para los parámetros con excedencias</w:t>
      </w:r>
    </w:p>
    <w:p w:rsidR="00000000" w:rsidDel="00000000" w:rsidP="00000000" w:rsidRDefault="00000000" w:rsidRPr="00000000" w14:paraId="00000101">
      <w:pPr>
        <w:spacing w:after="160" w:lineRule="auto"/>
        <w:jc w:val="both"/>
        <w:rPr>
          <w:color w:val="000000"/>
        </w:rPr>
      </w:pPr>
      <w:r w:rsidDel="00000000" w:rsidR="00000000" w:rsidRPr="00000000">
        <w:rPr>
          <w:color w:val="000000"/>
          <w:rtl w:val="0"/>
        </w:rPr>
        <w:t xml:space="preserve">Nuevas acciones: hasta el momento las acciones propuestas no resultan eficaces, por lo que el titular debe comprometer medidas que tengan como objeto aumentar el abatimiento de los parámetros de la NCh. 1333 que se encuentran excedidos.</w:t>
      </w:r>
    </w:p>
    <w:p w:rsidR="00000000" w:rsidDel="00000000" w:rsidP="00000000" w:rsidRDefault="00000000" w:rsidRPr="00000000" w14:paraId="00000102">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03">
      <w:pPr>
        <w:spacing w:after="160" w:lineRule="auto"/>
        <w:jc w:val="both"/>
        <w:rPr>
          <w:color w:val="000000"/>
          <w:shd w:fill="f3f3f3" w:val="clear"/>
        </w:rPr>
      </w:pPr>
      <w:r w:rsidDel="00000000" w:rsidR="00000000" w:rsidRPr="00000000">
        <w:rPr>
          <w:b w:val="0"/>
          <w:color w:val="000000"/>
          <w:shd w:fill="f3f3f3" w:val="clear"/>
          <w:rtl w:val="0"/>
        </w:rPr>
        <w:t xml:space="preserve">En el PdC refundido se incluyen nuevas acciones que se hacen cargo de estas excedencias.</w:t>
      </w:r>
      <w:r w:rsidDel="00000000" w:rsidR="00000000" w:rsidRPr="00000000">
        <w:rPr>
          <w:rtl w:val="0"/>
        </w:rPr>
      </w:r>
    </w:p>
    <w:p w:rsidR="00000000" w:rsidDel="00000000" w:rsidP="00000000" w:rsidRDefault="00000000" w:rsidRPr="00000000" w14:paraId="00000104">
      <w:pPr>
        <w:spacing w:after="160" w:lineRule="auto"/>
        <w:jc w:val="both"/>
        <w:rPr>
          <w:color w:val="000000"/>
        </w:rPr>
      </w:pPr>
      <w:r w:rsidDel="00000000" w:rsidR="00000000" w:rsidRPr="00000000">
        <w:rPr>
          <w:rtl w:val="0"/>
        </w:rPr>
      </w:r>
    </w:p>
    <w:p w:rsidR="00000000" w:rsidDel="00000000" w:rsidP="00000000" w:rsidRDefault="00000000" w:rsidRPr="00000000" w14:paraId="00000105">
      <w:pPr>
        <w:spacing w:after="160" w:lineRule="auto"/>
        <w:jc w:val="both"/>
        <w:rPr>
          <w:color w:val="000000"/>
        </w:rPr>
      </w:pPr>
      <w:r w:rsidDel="00000000" w:rsidR="00000000" w:rsidRPr="00000000">
        <w:rPr>
          <w:color w:val="000000"/>
          <w:rtl w:val="0"/>
        </w:rPr>
        <w:t xml:space="preserve">CARGO N° 3: "ANTE LA DETECCIÓN DE EXCEDENCIAS DE PARÁMETROS A) NO SE DETUVO EL SISTEMA DE REGADÍO; B) NO SE REALIZARON REMUESTREOS (...)"</w:t>
      </w:r>
    </w:p>
    <w:p w:rsidR="00000000" w:rsidDel="00000000" w:rsidP="00000000" w:rsidRDefault="00000000" w:rsidRPr="00000000" w14:paraId="00000106">
      <w:pPr>
        <w:spacing w:after="160" w:lineRule="auto"/>
        <w:jc w:val="both"/>
        <w:rPr>
          <w:color w:val="000000"/>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Observaciones relativas a la descripción de efectos del Cargo N° 3</w:t>
        <w:tab/>
      </w:r>
    </w:p>
    <w:p w:rsidR="00000000" w:rsidDel="00000000" w:rsidP="00000000" w:rsidRDefault="00000000" w:rsidRPr="00000000" w14:paraId="00000108">
      <w:pPr>
        <w:spacing w:after="160" w:lineRule="auto"/>
        <w:jc w:val="both"/>
        <w:rPr>
          <w:color w:val="000000"/>
        </w:rPr>
      </w:pPr>
      <w:r w:rsidDel="00000000" w:rsidR="00000000" w:rsidRPr="00000000">
        <w:rPr>
          <w:color w:val="000000"/>
          <w:rtl w:val="0"/>
        </w:rPr>
        <w:t xml:space="preserve">28. Atendida la similitud de componentes ambientales potencialmente afectados por la infracción del Cargo N° 3 en relación con el Cargo N° 2, se solicita considerar las mismas observaciones formuladas a propósito de este último hecho infraccional.</w:t>
        <w:tab/>
      </w:r>
    </w:p>
    <w:p w:rsidR="00000000" w:rsidDel="00000000" w:rsidP="00000000" w:rsidRDefault="00000000" w:rsidRPr="00000000" w14:paraId="00000109">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0A">
      <w:pPr>
        <w:spacing w:after="160" w:lineRule="auto"/>
        <w:jc w:val="both"/>
        <w:rPr>
          <w:color w:val="000000"/>
          <w:shd w:fill="f3f3f3" w:val="clear"/>
        </w:rPr>
      </w:pPr>
      <w:r w:rsidDel="00000000" w:rsidR="00000000" w:rsidRPr="00000000">
        <w:rPr>
          <w:b w:val="0"/>
          <w:color w:val="000000"/>
          <w:shd w:fill="f3f3f3" w:val="clear"/>
          <w:rtl w:val="0"/>
        </w:rPr>
        <w:t xml:space="preserve">El PdC refundo considera lo señalado en este punto. </w:t>
      </w:r>
      <w:r w:rsidDel="00000000" w:rsidR="00000000" w:rsidRPr="00000000">
        <w:rPr>
          <w:rtl w:val="0"/>
        </w:rPr>
      </w:r>
    </w:p>
    <w:p w:rsidR="00000000" w:rsidDel="00000000" w:rsidP="00000000" w:rsidRDefault="00000000" w:rsidRPr="00000000" w14:paraId="0000010B">
      <w:pPr>
        <w:spacing w:after="160" w:lineRule="auto"/>
        <w:jc w:val="both"/>
        <w:rPr>
          <w:color w:val="000000"/>
        </w:rPr>
      </w:pP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Observaciones relativas al plan de acciones y metas del Cargo N° 3</w:t>
        <w:tab/>
      </w:r>
    </w:p>
    <w:p w:rsidR="00000000" w:rsidDel="00000000" w:rsidP="00000000" w:rsidRDefault="00000000" w:rsidRPr="00000000" w14:paraId="0000010D">
      <w:pPr>
        <w:spacing w:after="160" w:lineRule="auto"/>
        <w:jc w:val="both"/>
        <w:rPr>
          <w:color w:val="000000"/>
        </w:rPr>
      </w:pPr>
      <w:r w:rsidDel="00000000" w:rsidR="00000000" w:rsidRPr="00000000">
        <w:rPr>
          <w:color w:val="000000"/>
          <w:rtl w:val="0"/>
        </w:rPr>
        <w:t xml:space="preserve">29.Incluir en sección "metas"</w:t>
      </w:r>
    </w:p>
    <w:p w:rsidR="00000000" w:rsidDel="00000000" w:rsidP="00000000" w:rsidRDefault="00000000" w:rsidRPr="00000000" w14:paraId="0000010E">
      <w:pPr>
        <w:spacing w:after="160" w:lineRule="auto"/>
        <w:jc w:val="both"/>
        <w:rPr>
          <w:color w:val="000000"/>
        </w:rPr>
      </w:pPr>
      <w:r w:rsidDel="00000000" w:rsidR="00000000" w:rsidRPr="00000000">
        <w:rPr>
          <w:color w:val="000000"/>
          <w:rtl w:val="0"/>
        </w:rPr>
        <w:t xml:space="preserve">En cuanto a las metas, se debe señalar expresamente que se dará cumplimiento a los considerandos N° 3 de la RCA N° 371/2008 y N° 7.13 de la RCA 430/2020.</w:t>
      </w:r>
    </w:p>
    <w:p w:rsidR="00000000" w:rsidDel="00000000" w:rsidP="00000000" w:rsidRDefault="00000000" w:rsidRPr="00000000" w14:paraId="0000010F">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10">
      <w:pPr>
        <w:spacing w:after="160" w:lineRule="auto"/>
        <w:jc w:val="both"/>
        <w:rPr>
          <w:color w:val="000000"/>
        </w:rPr>
      </w:pPr>
      <w:r w:rsidDel="00000000" w:rsidR="00000000" w:rsidRPr="00000000">
        <w:rPr>
          <w:b w:val="0"/>
          <w:color w:val="000000"/>
          <w:rtl w:val="0"/>
        </w:rPr>
        <w:t xml:space="preserve">En el PdC refundido se añade en la sección metas, expresamente que se dará cumplimiento a los considerandos N° 3 de la RCA N° 371/2008 y N° 7.13 de la RCA 430/2020.</w:t>
      </w:r>
      <w:r w:rsidDel="00000000" w:rsidR="00000000" w:rsidRPr="00000000">
        <w:rPr>
          <w:rtl w:val="0"/>
        </w:rPr>
      </w:r>
    </w:p>
    <w:p w:rsidR="00000000" w:rsidDel="00000000" w:rsidP="00000000" w:rsidRDefault="00000000" w:rsidRPr="00000000" w14:paraId="00000111">
      <w:pPr>
        <w:spacing w:after="160" w:lineRule="auto"/>
        <w:jc w:val="both"/>
        <w:rPr>
          <w:color w:val="000000"/>
        </w:rPr>
      </w:pPr>
      <w:r w:rsidDel="00000000" w:rsidR="00000000" w:rsidRPr="00000000">
        <w:rPr>
          <w:rtl w:val="0"/>
        </w:rPr>
      </w:r>
    </w:p>
    <w:p w:rsidR="00000000" w:rsidDel="00000000" w:rsidP="00000000" w:rsidRDefault="00000000" w:rsidRPr="00000000" w14:paraId="00000112">
      <w:pPr>
        <w:spacing w:after="160" w:lineRule="auto"/>
        <w:jc w:val="both"/>
        <w:rPr>
          <w:color w:val="000000"/>
        </w:rPr>
      </w:pPr>
      <w:r w:rsidDel="00000000" w:rsidR="00000000" w:rsidRPr="00000000">
        <w:rPr>
          <w:color w:val="000000"/>
          <w:rtl w:val="0"/>
        </w:rPr>
        <w:t xml:space="preserve">30.Respecto de la acción N° 13 "Implementar remuestreos ante todas las excedencias constatadas en los monitoreos mensuales de autocontrol" (en ejecución), se solicita incorporar las siguientes observaciones:</w:t>
        <w:tab/>
      </w:r>
    </w:p>
    <w:p w:rsidR="00000000" w:rsidDel="00000000" w:rsidP="00000000" w:rsidRDefault="00000000" w:rsidRPr="00000000" w14:paraId="00000113">
      <w:pPr>
        <w:spacing w:after="160" w:lineRule="auto"/>
        <w:jc w:val="both"/>
        <w:rPr>
          <w:color w:val="000000"/>
        </w:rPr>
      </w:pP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Complementar acción</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Acción: la acción consiste en el cumplimiento de la obligación contenida en el considerando 7.13 de la RCA N° 430/2020, por lo que se exige complementarla para que resulte eficaz. Por ejemplo, se pueden contemplar capacitaciones para los encargados de verificar el cumplimiento de parámetros, de manera que sepan qué deben hacer ante una excedencia.</w:t>
      </w:r>
    </w:p>
    <w:p w:rsidR="00000000" w:rsidDel="00000000" w:rsidP="00000000" w:rsidRDefault="00000000" w:rsidRPr="00000000" w14:paraId="00000116">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17">
      <w:pPr>
        <w:spacing w:after="160" w:lineRule="auto"/>
        <w:jc w:val="both"/>
        <w:rPr>
          <w:color w:val="000000"/>
          <w:shd w:fill="efefef" w:val="clear"/>
        </w:rPr>
      </w:pPr>
      <w:r w:rsidDel="00000000" w:rsidR="00000000" w:rsidRPr="00000000">
        <w:rPr>
          <w:b w:val="0"/>
          <w:color w:val="000000"/>
          <w:shd w:fill="efefef" w:val="clear"/>
          <w:rtl w:val="0"/>
        </w:rPr>
        <w:t xml:space="preserve">Se acoge observación y se complementa en el PdC refundido la acción N°13 con capacitaciones para los encargados con el fin de verificar el cumplimiento. </w:t>
      </w:r>
      <w:r w:rsidDel="00000000" w:rsidR="00000000" w:rsidRPr="00000000">
        <w:rPr>
          <w:rtl w:val="0"/>
        </w:rPr>
      </w:r>
    </w:p>
    <w:p w:rsidR="00000000" w:rsidDel="00000000" w:rsidP="00000000" w:rsidRDefault="00000000" w:rsidRPr="00000000" w14:paraId="00000118">
      <w:pPr>
        <w:spacing w:after="160" w:lineRule="auto"/>
        <w:jc w:val="both"/>
        <w:rPr>
          <w:b w:val="0"/>
          <w:color w:val="000000"/>
        </w:rPr>
      </w:pPr>
      <w:r w:rsidDel="00000000" w:rsidR="00000000" w:rsidRPr="00000000">
        <w:rPr>
          <w:rtl w:val="0"/>
        </w:rPr>
      </w:r>
    </w:p>
    <w:p w:rsidR="00000000" w:rsidDel="00000000" w:rsidP="00000000" w:rsidRDefault="00000000" w:rsidRPr="00000000" w14:paraId="0000011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atendido que es una acción en ejecución, se solicita acompañar la "Planilla Histórico Monitoreo de Riles F.AMB.02 actualizada" en la próxima entrega del PdC.</w:t>
      </w:r>
    </w:p>
    <w:p w:rsidR="00000000" w:rsidDel="00000000" w:rsidP="00000000" w:rsidRDefault="00000000" w:rsidRPr="00000000" w14:paraId="0000011B">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1C">
      <w:pPr>
        <w:spacing w:after="160" w:lineRule="auto"/>
        <w:jc w:val="both"/>
        <w:rPr>
          <w:color w:val="000000"/>
          <w:shd w:fill="efefef" w:val="clear"/>
        </w:rPr>
      </w:pPr>
      <w:r w:rsidDel="00000000" w:rsidR="00000000" w:rsidRPr="00000000">
        <w:rPr>
          <w:b w:val="0"/>
          <w:color w:val="000000"/>
          <w:shd w:fill="efefef" w:val="clear"/>
          <w:rtl w:val="0"/>
        </w:rPr>
        <w:t xml:space="preserve">En el PdC refundido, se acompaña la "Planilla Histórico Monitoreo de Riles F.AMB.02 actualizada".</w:t>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Corregir fecha</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Fecha de ejecución: debe señalar desde cuándo se encuentra en ejecución esta acción y como fecha de término, indicar "Durante toda la vigencia del PdC"</w:t>
      </w:r>
    </w:p>
    <w:p w:rsidR="00000000" w:rsidDel="00000000" w:rsidP="00000000" w:rsidRDefault="00000000" w:rsidRPr="00000000" w14:paraId="0000011F">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20">
      <w:pPr>
        <w:spacing w:after="160" w:lineRule="auto"/>
        <w:jc w:val="both"/>
        <w:rPr>
          <w:color w:val="000000"/>
          <w:shd w:fill="efefef" w:val="clear"/>
        </w:rPr>
      </w:pPr>
      <w:r w:rsidDel="00000000" w:rsidR="00000000" w:rsidRPr="00000000">
        <w:rPr>
          <w:b w:val="0"/>
          <w:color w:val="000000"/>
          <w:shd w:fill="efefef" w:val="clear"/>
          <w:rtl w:val="0"/>
        </w:rPr>
        <w:t xml:space="preserve">Se acoge observación y se modifica fecha de término a "Durante toda la vigencia del PdC.</w:t>
      </w:r>
      <w:r w:rsidDel="00000000" w:rsidR="00000000" w:rsidRPr="00000000">
        <w:rPr>
          <w:rtl w:val="0"/>
        </w:rPr>
      </w:r>
    </w:p>
    <w:p w:rsidR="00000000" w:rsidDel="00000000" w:rsidP="00000000" w:rsidRDefault="00000000" w:rsidRPr="00000000" w14:paraId="0000012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Complementar indicador</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Indicador de cumplimiento: se debe reemplazar por “Realización de remuestreos ante constatación de excedencias".</w:t>
      </w:r>
    </w:p>
    <w:p w:rsidR="00000000" w:rsidDel="00000000" w:rsidP="00000000" w:rsidRDefault="00000000" w:rsidRPr="00000000" w14:paraId="00000123">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24">
      <w:pPr>
        <w:spacing w:after="160" w:lineRule="auto"/>
        <w:jc w:val="both"/>
        <w:rPr>
          <w:color w:val="000000"/>
          <w:shd w:fill="efefef" w:val="clear"/>
        </w:rPr>
      </w:pPr>
      <w:r w:rsidDel="00000000" w:rsidR="00000000" w:rsidRPr="00000000">
        <w:rPr>
          <w:b w:val="0"/>
          <w:color w:val="000000"/>
          <w:shd w:fill="efefef" w:val="clear"/>
          <w:rtl w:val="0"/>
        </w:rPr>
        <w:t xml:space="preserve">Se acoge observación y se reemplaza el Indicador de cumplimiento por  "Realización  de  remuestreos  ante constatación de excedencias".</w:t>
      </w:r>
      <w:r w:rsidDel="00000000" w:rsidR="00000000" w:rsidRPr="00000000">
        <w:rPr>
          <w:rtl w:val="0"/>
        </w:rPr>
      </w:r>
    </w:p>
    <w:p w:rsidR="00000000" w:rsidDel="00000000" w:rsidP="00000000" w:rsidRDefault="00000000" w:rsidRPr="00000000" w14:paraId="00000125">
      <w:pPr>
        <w:spacing w:after="160" w:lineRule="auto"/>
        <w:jc w:val="both"/>
        <w:rPr>
          <w:color w:val="000000"/>
        </w:rPr>
      </w:pPr>
      <w:r w:rsidDel="00000000" w:rsidR="00000000" w:rsidRPr="00000000">
        <w:rPr>
          <w:color w:val="000000"/>
          <w:rtl w:val="0"/>
        </w:rPr>
        <w:t xml:space="preserve">31. Respecto de la acción N° 14 "Construcción de un estanque de 2000 m3 para la acumulación de agua destinadas para riego (...)” (por ejecutar), se solicita incorporar las siguientes observaciones:</w:t>
        <w:tab/>
      </w:r>
    </w:p>
    <w:p w:rsidR="00000000" w:rsidDel="00000000" w:rsidP="00000000" w:rsidRDefault="00000000" w:rsidRPr="00000000" w14:paraId="0000012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Acompañar un anexo que permita divisar el funcionamiento del estaque de 2000 m</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superscript"/>
          <w:rtl w:val="0"/>
        </w:rPr>
        <w:t xml:space="preserve">3</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 en relación con la infraestructura existente para destinar a riego. Asimismo, debe aclarar </w:t>
      </w:r>
      <w:r w:rsidDel="00000000" w:rsidR="00000000" w:rsidRPr="00000000">
        <w:rPr>
          <w:color w:val="000000"/>
          <w:rtl w:val="0"/>
        </w:rPr>
        <w:t xml:space="preserve">cómo</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 pretende operar el riego si, previo a la construcción del estanque, detecta una excedencia de parámetros, donde debiera paralizar y no contaría con la posibilidad de operar el pozo agrícola y, finalmente, señalar si se desconectará de forma definitiva la red del abastecimiento del pozo hacia el tranque, señalando a su vez los medios de verificación Idóneos.</w:t>
      </w:r>
    </w:p>
    <w:p w:rsidR="00000000" w:rsidDel="00000000" w:rsidP="00000000" w:rsidRDefault="00000000" w:rsidRPr="00000000" w14:paraId="00000127">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28">
      <w:pPr>
        <w:spacing w:after="160" w:lineRule="auto"/>
        <w:jc w:val="both"/>
        <w:rPr>
          <w:b w:val="0"/>
          <w:color w:val="000000"/>
          <w:shd w:fill="efefef" w:val="clear"/>
        </w:rPr>
      </w:pPr>
      <w:r w:rsidDel="00000000" w:rsidR="00000000" w:rsidRPr="00000000">
        <w:rPr>
          <w:b w:val="0"/>
          <w:color w:val="000000"/>
          <w:shd w:fill="efefef" w:val="clear"/>
          <w:rtl w:val="0"/>
        </w:rPr>
        <w:t xml:space="preserve">El Anexo será entregado mediante un documento de manera posterior a la entrega del PdC refundido, lo anterior, se encuentra en elaboración por parte de los especialistas.</w:t>
      </w:r>
    </w:p>
    <w:p w:rsidR="00000000" w:rsidDel="00000000" w:rsidP="00000000" w:rsidRDefault="00000000" w:rsidRPr="00000000" w14:paraId="00000129">
      <w:pPr>
        <w:spacing w:after="160" w:lineRule="auto"/>
        <w:jc w:val="both"/>
        <w:rPr>
          <w:b w:val="0"/>
          <w:color w:val="000000"/>
          <w:shd w:fill="efefef" w:val="clear"/>
        </w:rPr>
      </w:pPr>
      <w:r w:rsidDel="00000000" w:rsidR="00000000" w:rsidRPr="00000000">
        <w:rPr>
          <w:b w:val="0"/>
          <w:color w:val="000000"/>
          <w:shd w:fill="efefef" w:val="clear"/>
          <w:rtl w:val="0"/>
        </w:rPr>
        <w:t xml:space="preserve">En lo que respecta al abastecimiento del pozo agricola  </w:t>
      </w:r>
      <w:r w:rsidDel="00000000" w:rsidR="00000000" w:rsidRPr="00000000">
        <w:rPr>
          <w:b w:val="0"/>
          <w:color w:val="000000"/>
          <w:shd w:fill="efefef" w:val="clear"/>
          <w:rtl w:val="0"/>
        </w:rPr>
        <w:t xml:space="preserve">al tranque</w:t>
      </w:r>
      <w:r w:rsidDel="00000000" w:rsidR="00000000" w:rsidRPr="00000000">
        <w:rPr>
          <w:b w:val="0"/>
          <w:color w:val="000000"/>
          <w:shd w:fill="efefef" w:val="clear"/>
          <w:rtl w:val="0"/>
        </w:rPr>
        <w:t xml:space="preserve"> no existe la posibilidad de desconectarlo, ya que el balance hídrico presentado en la RCA 430 /2020 deja de manifiesto que el RIl generado aporta  solo ⅓  requerimiento hídrico que requiere la viña para la el riego y que además la misma RCA señala que el tranque acumula RIL y agua de buena calidad para disponer a riego.</w:t>
      </w:r>
    </w:p>
    <w:p w:rsidR="00000000" w:rsidDel="00000000" w:rsidP="00000000" w:rsidRDefault="00000000" w:rsidRPr="00000000" w14:paraId="0000012A">
      <w:pPr>
        <w:spacing w:after="160" w:lineRule="auto"/>
        <w:jc w:val="both"/>
        <w:rPr>
          <w:b w:val="0"/>
          <w:color w:val="000000"/>
          <w:shd w:fill="efefef" w:val="clear"/>
        </w:rPr>
      </w:pPr>
      <w:r w:rsidDel="00000000" w:rsidR="00000000" w:rsidRPr="00000000">
        <w:rPr>
          <w:rtl w:val="0"/>
        </w:rPr>
      </w:r>
    </w:p>
    <w:p w:rsidR="00000000" w:rsidDel="00000000" w:rsidP="00000000" w:rsidRDefault="00000000" w:rsidRPr="00000000" w14:paraId="0000012B">
      <w:pPr>
        <w:widowControl w:val="0"/>
        <w:spacing w:after="160" w:lineRule="auto"/>
        <w:ind w:left="720" w:firstLine="0"/>
        <w:jc w:val="both"/>
        <w:rPr>
          <w:b w:val="0"/>
          <w:color w:val="000000"/>
          <w:shd w:fill="efefef" w:val="clear"/>
        </w:rPr>
      </w:pPr>
      <w:r w:rsidDel="00000000" w:rsidR="00000000" w:rsidRPr="00000000">
        <w:rPr>
          <w:b w:val="0"/>
          <w:color w:val="000000"/>
          <w:rtl w:val="0"/>
        </w:rPr>
        <w:t xml:space="preserve">En cuanto a  operar el riego si, previo a la construcción del estanque, hay una excedencia se acumula  en el tranque, y estamos a espera del pronunciamiento del SEA, se solicitará´una reunión por la Ley del Lobby para exponer a la autoridad los detalles de la pertinencia ya presentada y lo urgente que resulta su implementación.</w:t>
      </w:r>
      <w:r w:rsidDel="00000000" w:rsidR="00000000" w:rsidRPr="00000000">
        <w:rPr>
          <w:rtl w:val="0"/>
        </w:rPr>
      </w:r>
    </w:p>
    <w:p w:rsidR="00000000" w:rsidDel="00000000" w:rsidP="00000000" w:rsidRDefault="00000000" w:rsidRPr="00000000" w14:paraId="0000012C">
      <w:pPr>
        <w:spacing w:after="160" w:lineRule="auto"/>
        <w:jc w:val="both"/>
        <w:rPr>
          <w:color w:val="000000"/>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Modificar indicador</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Indicador de cumplimiento:  debe señalar “Construcción de estanque de 2000 m</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superscript"/>
          <w:rtl w:val="0"/>
        </w:rPr>
        <w:t xml:space="preserve">3</w:t>
      </w: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 que permite operar riego con agua de pozo agrícola".</w:t>
      </w:r>
    </w:p>
    <w:p w:rsidR="00000000" w:rsidDel="00000000" w:rsidP="00000000" w:rsidRDefault="00000000" w:rsidRPr="00000000" w14:paraId="0000012F">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30">
      <w:pPr>
        <w:spacing w:after="160" w:lineRule="auto"/>
        <w:jc w:val="both"/>
        <w:rPr>
          <w:color w:val="000000"/>
          <w:shd w:fill="efefef" w:val="clear"/>
        </w:rPr>
      </w:pPr>
      <w:r w:rsidDel="00000000" w:rsidR="00000000" w:rsidRPr="00000000">
        <w:rPr>
          <w:b w:val="0"/>
          <w:color w:val="000000"/>
          <w:shd w:fill="efefef" w:val="clear"/>
          <w:rtl w:val="0"/>
        </w:rPr>
        <w:t xml:space="preserve">Se acoge observación y se modifica el indicador de cumplimiento a  "Construcción  de  estanque  de  2000  m3,  que permite operar riego con agua de pozo agrícola".</w:t>
      </w: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Planilla control de Riego</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Reporte de avance: En el N° 9 se señala que se acompañará registro fotográfico del caudalímetro dando cuenta del uso exclusivo del pozo agrícola en el riego. Al respecto, adicional al registro fotográfico la información se debe sistematizar en una planilla que permita hacer seguimiento al riego que se aplicó proveniente del tratamiento de Riles y cuándo, según la constatación de una excedencia, se procedió al riego con el agua del pozo agrícola.</w:t>
      </w:r>
    </w:p>
    <w:p w:rsidR="00000000" w:rsidDel="00000000" w:rsidP="00000000" w:rsidRDefault="00000000" w:rsidRPr="00000000" w14:paraId="00000133">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34">
      <w:pPr>
        <w:spacing w:after="160" w:lineRule="auto"/>
        <w:jc w:val="both"/>
        <w:rPr>
          <w:color w:val="000000"/>
          <w:shd w:fill="efefef" w:val="clear"/>
        </w:rPr>
      </w:pPr>
      <w:r w:rsidDel="00000000" w:rsidR="00000000" w:rsidRPr="00000000">
        <w:rPr>
          <w:b w:val="0"/>
          <w:color w:val="000000"/>
          <w:shd w:fill="efefef" w:val="clear"/>
          <w:rtl w:val="0"/>
        </w:rPr>
        <w:t xml:space="preserve">Se acoge observación y en el Anexo 15 de respuesta a esta observaciones, se incorpora la Planilla de control de riego.</w:t>
      </w:r>
      <w:r w:rsidDel="00000000" w:rsidR="00000000" w:rsidRPr="00000000">
        <w:rPr>
          <w:rtl w:val="0"/>
        </w:rPr>
      </w:r>
    </w:p>
    <w:p w:rsidR="00000000" w:rsidDel="00000000" w:rsidP="00000000" w:rsidRDefault="00000000" w:rsidRPr="00000000" w14:paraId="00000135">
      <w:pPr>
        <w:spacing w:after="160" w:lineRule="auto"/>
        <w:jc w:val="both"/>
        <w:rPr>
          <w:color w:val="000000"/>
        </w:rPr>
      </w:pPr>
      <w:r w:rsidDel="00000000" w:rsidR="00000000" w:rsidRPr="00000000">
        <w:rPr>
          <w:color w:val="000000"/>
          <w:rtl w:val="0"/>
        </w:rPr>
        <w:t xml:space="preserve">32.Respecto de la acción N° 15 "Presentar de una Carta de Consulta de Pertinencia para poder disponer el RIL tratado a través de un sistema mixto: Riego (sistema actual) y en caso de no cumplir con la NCh. 1333 disponer el efluente tratado a través de los canales Castillo y Undurraga (por ejecutar), se solicita incorporar las siguientes observaciones:</w:t>
        <w:tab/>
      </w:r>
    </w:p>
    <w:p w:rsidR="00000000" w:rsidDel="00000000" w:rsidP="00000000" w:rsidRDefault="00000000" w:rsidRPr="00000000" w14:paraId="0000013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Corregir forma de implementación</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Forma de implementación: el punto 5 se debe corregir, indicando que la solicitud de resolución de programa de monitoreo, se efectúa ante esta SMA. Asimismo, se debe acompañar los pronunciamientos en base a los cuales se indica contar con autorización para la descarga de efluente a los cauces superficiales.</w:t>
      </w:r>
    </w:p>
    <w:p w:rsidR="00000000" w:rsidDel="00000000" w:rsidP="00000000" w:rsidRDefault="00000000" w:rsidRPr="00000000" w14:paraId="00000138">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39">
      <w:pPr>
        <w:spacing w:after="160" w:lineRule="auto"/>
        <w:jc w:val="both"/>
        <w:rPr>
          <w:color w:val="000000"/>
          <w:shd w:fill="efefef" w:val="clear"/>
        </w:rPr>
      </w:pPr>
      <w:r w:rsidDel="00000000" w:rsidR="00000000" w:rsidRPr="00000000">
        <w:rPr>
          <w:b w:val="0"/>
          <w:color w:val="000000"/>
          <w:shd w:fill="efefef" w:val="clear"/>
          <w:rtl w:val="0"/>
        </w:rPr>
        <w:t xml:space="preserve">Se acogen ambas observaciones y se indica que la resolución del programa de monitoreo se efectuará ante la SMA y se debe acompañar los pronunciamientos de autorización para la descarga de efluente a los cauces superficiales.</w:t>
      </w:r>
      <w:r w:rsidDel="00000000" w:rsidR="00000000" w:rsidRPr="00000000">
        <w:rPr>
          <w:rtl w:val="0"/>
        </w:rPr>
      </w:r>
    </w:p>
    <w:p w:rsidR="00000000" w:rsidDel="00000000" w:rsidP="00000000" w:rsidRDefault="00000000" w:rsidRPr="00000000" w14:paraId="0000013A">
      <w:pPr>
        <w:spacing w:after="160" w:lineRule="auto"/>
        <w:jc w:val="both"/>
        <w:rPr>
          <w:color w:val="000000"/>
        </w:rPr>
      </w:pPr>
      <w:r w:rsidDel="00000000" w:rsidR="00000000" w:rsidRPr="00000000">
        <w:rPr>
          <w:color w:val="000000"/>
          <w:rtl w:val="0"/>
        </w:rPr>
        <w:t xml:space="preserve">33.Incluir acción o descartar la acción</w:t>
      </w:r>
    </w:p>
    <w:p w:rsidR="00000000" w:rsidDel="00000000" w:rsidP="00000000" w:rsidRDefault="00000000" w:rsidRPr="00000000" w14:paraId="0000013B">
      <w:pPr>
        <w:spacing w:after="160" w:lineRule="auto"/>
        <w:jc w:val="both"/>
        <w:rPr>
          <w:color w:val="000000"/>
        </w:rPr>
      </w:pPr>
      <w:r w:rsidDel="00000000" w:rsidR="00000000" w:rsidRPr="00000000">
        <w:rPr>
          <w:color w:val="000000"/>
          <w:rtl w:val="0"/>
        </w:rPr>
        <w:t xml:space="preserve">Nueva acción:  En la sección “Forma en que se eliminan o contienen y reducen los efectos." del PdC, se indica que se realizarán monitoreos operacionales de manera que ante la espera de resultados de análisis o remuestreo se cuente con dato de una medición del día que se requiera riego. Sin embargo, ello no fue incluido en el pian de acciones, por lo que se debe incorporar dicha medida como acción o indicar la razón por la cual esta acción no forma parte del PdC.</w:t>
      </w:r>
    </w:p>
    <w:p w:rsidR="00000000" w:rsidDel="00000000" w:rsidP="00000000" w:rsidRDefault="00000000" w:rsidRPr="00000000" w14:paraId="0000013C">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3D">
      <w:pPr>
        <w:spacing w:after="160" w:lineRule="auto"/>
        <w:jc w:val="both"/>
        <w:rPr>
          <w:color w:val="000000"/>
          <w:shd w:fill="efefef" w:val="clear"/>
        </w:rPr>
      </w:pPr>
      <w:r w:rsidDel="00000000" w:rsidR="00000000" w:rsidRPr="00000000">
        <w:rPr>
          <w:b w:val="0"/>
          <w:color w:val="000000"/>
          <w:shd w:fill="efefef" w:val="clear"/>
          <w:rtl w:val="0"/>
        </w:rPr>
        <w:t xml:space="preserve">En el PdC refundido se elimina la realización de monitoreos operacionales anteriormente indicados como “Forma en que se eliminan o contienen y reducen los efectos…”. </w:t>
      </w:r>
      <w:r w:rsidDel="00000000" w:rsidR="00000000" w:rsidRPr="00000000">
        <w:rPr>
          <w:rtl w:val="0"/>
        </w:rPr>
      </w:r>
    </w:p>
    <w:p w:rsidR="00000000" w:rsidDel="00000000" w:rsidP="00000000" w:rsidRDefault="00000000" w:rsidRPr="00000000" w14:paraId="0000013E">
      <w:pPr>
        <w:spacing w:after="160" w:lineRule="auto"/>
        <w:jc w:val="both"/>
        <w:rPr>
          <w:color w:val="000000"/>
        </w:rPr>
      </w:pPr>
      <w:r w:rsidDel="00000000" w:rsidR="00000000" w:rsidRPr="00000000">
        <w:rPr>
          <w:rtl w:val="0"/>
        </w:rPr>
      </w:r>
    </w:p>
    <w:p w:rsidR="00000000" w:rsidDel="00000000" w:rsidP="00000000" w:rsidRDefault="00000000" w:rsidRPr="00000000" w14:paraId="0000013F">
      <w:pPr>
        <w:spacing w:after="160" w:lineRule="auto"/>
        <w:jc w:val="both"/>
        <w:rPr>
          <w:color w:val="000000"/>
        </w:rPr>
      </w:pPr>
      <w:r w:rsidDel="00000000" w:rsidR="00000000" w:rsidRPr="00000000">
        <w:rPr>
          <w:color w:val="000000"/>
          <w:rtl w:val="0"/>
        </w:rPr>
        <w:t xml:space="preserve">34.Incluir acción</w:t>
      </w:r>
    </w:p>
    <w:p w:rsidR="00000000" w:rsidDel="00000000" w:rsidP="00000000" w:rsidRDefault="00000000" w:rsidRPr="00000000" w14:paraId="00000140">
      <w:pPr>
        <w:spacing w:after="160" w:lineRule="auto"/>
        <w:jc w:val="both"/>
        <w:rPr>
          <w:color w:val="000000"/>
        </w:rPr>
      </w:pPr>
      <w:r w:rsidDel="00000000" w:rsidR="00000000" w:rsidRPr="00000000">
        <w:rPr>
          <w:color w:val="000000"/>
          <w:rtl w:val="0"/>
        </w:rPr>
        <w:t xml:space="preserve">Nueva acción: se debe contemplar la paralización del riego proveniente del tratamiento de Riles cuando hay excedencias de la NCh. 1333</w:t>
      </w:r>
    </w:p>
    <w:p w:rsidR="00000000" w:rsidDel="00000000" w:rsidP="00000000" w:rsidRDefault="00000000" w:rsidRPr="00000000" w14:paraId="00000141">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42">
      <w:pPr>
        <w:spacing w:after="160" w:lineRule="auto"/>
        <w:jc w:val="both"/>
        <w:rPr>
          <w:b w:val="0"/>
          <w:color w:val="000000"/>
          <w:shd w:fill="efefef" w:val="clear"/>
        </w:rPr>
      </w:pPr>
      <w:r w:rsidDel="00000000" w:rsidR="00000000" w:rsidRPr="00000000">
        <w:rPr>
          <w:b w:val="0"/>
          <w:color w:val="000000"/>
          <w:shd w:fill="efefef" w:val="clear"/>
          <w:rtl w:val="0"/>
        </w:rPr>
        <w:t xml:space="preserve">Se acoge observación y se crea una nueva acción N°16 “Paralización del riego en caso de excedencias de la NCh. 1333.</w:t>
      </w:r>
    </w:p>
    <w:p w:rsidR="00000000" w:rsidDel="00000000" w:rsidP="00000000" w:rsidRDefault="00000000" w:rsidRPr="00000000" w14:paraId="00000143">
      <w:pPr>
        <w:spacing w:after="160" w:lineRule="auto"/>
        <w:jc w:val="both"/>
        <w:rPr>
          <w:b w:val="0"/>
          <w:color w:val="000000"/>
        </w:rPr>
      </w:pPr>
      <w:r w:rsidDel="00000000" w:rsidR="00000000" w:rsidRPr="00000000">
        <w:rPr>
          <w:rtl w:val="0"/>
        </w:rPr>
      </w:r>
    </w:p>
    <w:p w:rsidR="00000000" w:rsidDel="00000000" w:rsidP="00000000" w:rsidRDefault="00000000" w:rsidRPr="00000000" w14:paraId="00000144">
      <w:pPr>
        <w:spacing w:after="160" w:lineRule="auto"/>
        <w:jc w:val="both"/>
        <w:rPr>
          <w:color w:val="000000"/>
        </w:rPr>
      </w:pPr>
      <w:r w:rsidDel="00000000" w:rsidR="00000000" w:rsidRPr="00000000">
        <w:rPr>
          <w:color w:val="000000"/>
          <w:rtl w:val="0"/>
        </w:rPr>
        <w:t xml:space="preserve">CARGO N° 4: "NO MONITOREAR LOS PARÁMETROS DETERGENTES (SAAM), FENOLES Y SÓLIDOS SUSPENDIDOS BIODEGRADABLES (...)"</w:t>
      </w:r>
    </w:p>
    <w:p w:rsidR="00000000" w:rsidDel="00000000" w:rsidP="00000000" w:rsidRDefault="00000000" w:rsidRPr="00000000" w14:paraId="00000145">
      <w:pPr>
        <w:spacing w:after="160" w:lineRule="auto"/>
        <w:jc w:val="both"/>
        <w:rPr>
          <w:color w:val="000000"/>
        </w:rPr>
      </w:pPr>
      <w:r w:rsidDel="00000000" w:rsidR="00000000" w:rsidRPr="00000000">
        <w:rPr>
          <w:rtl w:val="0"/>
        </w:rPr>
      </w:r>
    </w:p>
    <w:p w:rsidR="00000000" w:rsidDel="00000000" w:rsidP="00000000" w:rsidRDefault="00000000" w:rsidRPr="00000000" w14:paraId="00000146">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Observaciones relativas a la descripción de efectos del Cargo N° 4</w:t>
        <w:tab/>
      </w:r>
    </w:p>
    <w:p w:rsidR="00000000" w:rsidDel="00000000" w:rsidP="00000000" w:rsidRDefault="00000000" w:rsidRPr="00000000" w14:paraId="00000147">
      <w:pPr>
        <w:spacing w:after="160" w:lineRule="auto"/>
        <w:jc w:val="both"/>
        <w:rPr>
          <w:color w:val="000000"/>
        </w:rPr>
      </w:pPr>
      <w:r w:rsidDel="00000000" w:rsidR="00000000" w:rsidRPr="00000000">
        <w:rPr>
          <w:color w:val="000000"/>
          <w:rtl w:val="0"/>
        </w:rPr>
        <w:t xml:space="preserve">35.Respecto del Anexo N° 4 "Análisis y estimación de posibles efectos ambientales. Cargo N° 4 deben realizarse las siguientes correcciones y/o aclaraciones:</w:t>
        <w:tab/>
      </w:r>
    </w:p>
    <w:p w:rsidR="00000000" w:rsidDel="00000000" w:rsidP="00000000" w:rsidRDefault="00000000" w:rsidRPr="00000000" w14:paraId="0000014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en sección medios de verificación</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la sección N° 5 del informe se refiere a medios de verificación, respecto de los cuales solo incorpora el Informe de Análisis de ANAM N° 220020830, de manera que en la próxima entrega del PdC se debe acompañar el correo electrónico de 24 de marzo de 2022 solicitando la medición de los parámetros restantes al laboratorio, junto con la "Planilla F.AMB.02. Histórico Monitoreo Riles_Efluente 2022"</w:t>
      </w:r>
    </w:p>
    <w:p w:rsidR="00000000" w:rsidDel="00000000" w:rsidP="00000000" w:rsidRDefault="00000000" w:rsidRPr="00000000" w14:paraId="0000014A">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4B">
      <w:pPr>
        <w:spacing w:after="160" w:lineRule="auto"/>
        <w:jc w:val="both"/>
        <w:rPr>
          <w:color w:val="000000"/>
          <w:shd w:fill="efefef" w:val="clear"/>
        </w:rPr>
      </w:pPr>
      <w:r w:rsidDel="00000000" w:rsidR="00000000" w:rsidRPr="00000000">
        <w:rPr>
          <w:b w:val="0"/>
          <w:color w:val="000000"/>
          <w:shd w:fill="efefef" w:val="clear"/>
          <w:rtl w:val="0"/>
        </w:rPr>
        <w:t xml:space="preserve">Se acompaña en el Anexo de la minuta 4, el correo electrónico del 24 de marzo de 2022 y la planilla histórica de Riles.</w:t>
      </w:r>
      <w:r w:rsidDel="00000000" w:rsidR="00000000" w:rsidRPr="00000000">
        <w:rPr>
          <w:rtl w:val="0"/>
        </w:rPr>
      </w:r>
    </w:p>
    <w:p w:rsidR="00000000" w:rsidDel="00000000" w:rsidP="00000000" w:rsidRDefault="00000000" w:rsidRPr="00000000" w14:paraId="0000014C">
      <w:pPr>
        <w:spacing w:after="160" w:lineRule="auto"/>
        <w:jc w:val="both"/>
        <w:rPr>
          <w:color w:val="000000"/>
        </w:rPr>
      </w:pPr>
      <w:r w:rsidDel="00000000" w:rsidR="00000000" w:rsidRPr="00000000">
        <w:rPr>
          <w:rtl w:val="0"/>
        </w:rPr>
      </w:r>
    </w:p>
    <w:p w:rsidR="00000000" w:rsidDel="00000000" w:rsidP="00000000" w:rsidRDefault="00000000" w:rsidRPr="00000000" w14:paraId="0000014D">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en el Anexo del cargo 4</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Se solicita incorporar expresamente como efecto de la infracción la existencia de incertidumbre respecto del correcto funcionamiento del proyecto, atendida la falta de monitoreos de los parámetros señalados en el Cargo N° 4</w:t>
      </w:r>
    </w:p>
    <w:p w:rsidR="00000000" w:rsidDel="00000000" w:rsidP="00000000" w:rsidRDefault="00000000" w:rsidRPr="00000000" w14:paraId="0000014F">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50">
      <w:pPr>
        <w:spacing w:after="160" w:lineRule="auto"/>
        <w:jc w:val="both"/>
        <w:rPr>
          <w:color w:val="000000"/>
          <w:shd w:fill="efefef" w:val="clear"/>
        </w:rPr>
      </w:pPr>
      <w:r w:rsidDel="00000000" w:rsidR="00000000" w:rsidRPr="00000000">
        <w:rPr>
          <w:b w:val="0"/>
          <w:color w:val="000000"/>
          <w:shd w:fill="efefef" w:val="clear"/>
          <w:rtl w:val="0"/>
        </w:rPr>
        <w:t xml:space="preserve">Se acoge la observación y en el PdC refundido se incorpora expresamente “como efecto de la infracción la existencia de incertidumbre respecto del correcto funcionamiento del proyecto, atendida la falta de monitoreos de los parámetros señalados en el Cargo N° 4</w:t>
      </w:r>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justificación excedencias</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En el Informe de Análisis N° 220020830 de mayo de 2022, se da cuenta de la excedencia de dos parámetros que no fueron contemplados en la formulación de cargos (Coliformes fecales y Sólidos disueltos totales). Se debe explicar a qué se deben estas excedencias, de manera de tenerlas en consideración dentro del plan de acciones de los Cargos N° 2 y N° 3</w:t>
      </w:r>
    </w:p>
    <w:p w:rsidR="00000000" w:rsidDel="00000000" w:rsidP="00000000" w:rsidRDefault="00000000" w:rsidRPr="00000000" w14:paraId="00000153">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54">
      <w:pPr>
        <w:spacing w:after="160" w:lineRule="auto"/>
        <w:jc w:val="both"/>
        <w:rPr>
          <w:b w:val="0"/>
          <w:color w:val="000000"/>
          <w:shd w:fill="efefef" w:val="clear"/>
        </w:rPr>
      </w:pPr>
      <w:r w:rsidDel="00000000" w:rsidR="00000000" w:rsidRPr="00000000">
        <w:rPr>
          <w:b w:val="0"/>
          <w:color w:val="000000"/>
          <w:shd w:fill="efefef" w:val="clear"/>
          <w:rtl w:val="0"/>
        </w:rPr>
        <w:t xml:space="preserve">La norma NCh 1.333 establece tramos para el caso de los sólidos disueltos totales, y el laboratorio tomó como referencia el primer valor de la Tabla 2 (se adjunta). Esto fue resuelto el laboratorio que actualmente realiza el monitoreo considera los tres tramos y no se presentan excedencias sobre estas.</w:t>
      </w:r>
    </w:p>
    <w:p w:rsidR="00000000" w:rsidDel="00000000" w:rsidP="00000000" w:rsidRDefault="00000000" w:rsidRPr="00000000" w14:paraId="00000155">
      <w:pPr>
        <w:spacing w:after="160" w:lineRule="auto"/>
        <w:jc w:val="both"/>
        <w:rPr>
          <w:b w:val="0"/>
          <w:color w:val="000000"/>
          <w:shd w:fill="efefef" w:val="clear"/>
        </w:rPr>
      </w:pPr>
      <w:r w:rsidDel="00000000" w:rsidR="00000000" w:rsidRPr="00000000">
        <w:rPr>
          <w:b w:val="0"/>
          <w:color w:val="000000"/>
          <w:shd w:fill="efefef" w:val="clear"/>
          <w:rtl w:val="0"/>
        </w:rPr>
        <w:t xml:space="preserve">Se está evaluando la presencia de coliformes fecales, en el tranque de acumulación de agua para riego, existe vive acuática (ej. patos) que podría ser eventualmente la causa, hasta el momento se desconoce su origen y este parámetro no es parte de los requisitos a monitorear (Tabla 1), se adjunta requisito bacteriologico.</w:t>
      </w:r>
    </w:p>
    <w:p w:rsidR="00000000" w:rsidDel="00000000" w:rsidP="00000000" w:rsidRDefault="00000000" w:rsidRPr="00000000" w14:paraId="00000156">
      <w:pPr>
        <w:spacing w:after="160" w:lineRule="auto"/>
        <w:jc w:val="both"/>
        <w:rPr>
          <w:b w:val="0"/>
          <w:color w:val="000000"/>
          <w:shd w:fill="ffe599" w:val="clear"/>
        </w:rPr>
      </w:pPr>
      <w:r w:rsidDel="00000000" w:rsidR="00000000" w:rsidRPr="00000000">
        <w:rPr>
          <w:b w:val="0"/>
          <w:color w:val="000000"/>
          <w:shd w:fill="ffe599" w:val="clear"/>
        </w:rPr>
        <w:drawing>
          <wp:inline distB="114300" distT="114300" distL="114300" distR="114300">
            <wp:extent cx="5760085" cy="3086100"/>
            <wp:effectExtent b="0" l="0" r="0" t="0"/>
            <wp:docPr id="54"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760085" cy="3086100"/>
                    </a:xfrm>
                    <a:prstGeom prst="rect"/>
                    <a:ln/>
                  </pic:spPr>
                </pic:pic>
              </a:graphicData>
            </a:graphic>
          </wp:inline>
        </w:drawing>
      </w:r>
      <w:r w:rsidDel="00000000" w:rsidR="00000000" w:rsidRPr="00000000">
        <w:rPr>
          <w:rtl w:val="0"/>
        </w:rPr>
      </w:r>
    </w:p>
    <w:p w:rsidR="00000000" w:rsidDel="00000000" w:rsidP="00000000" w:rsidRDefault="00000000" w:rsidRPr="00000000" w14:paraId="00000157">
      <w:pPr>
        <w:spacing w:after="160" w:lineRule="auto"/>
        <w:jc w:val="both"/>
        <w:rPr>
          <w:b w:val="0"/>
          <w:i w:val="1"/>
          <w:color w:val="000000"/>
          <w:shd w:fill="efefef" w:val="clear"/>
        </w:rPr>
      </w:pPr>
      <w:r w:rsidDel="00000000" w:rsidR="00000000" w:rsidRPr="00000000">
        <w:rPr>
          <w:b w:val="0"/>
          <w:i w:val="1"/>
          <w:color w:val="000000"/>
          <w:shd w:fill="efefef" w:val="clear"/>
          <w:rtl w:val="0"/>
        </w:rPr>
        <w:t xml:space="preserve">6.2 Requisitos bacteriológicos</w:t>
      </w:r>
    </w:p>
    <w:p w:rsidR="00000000" w:rsidDel="00000000" w:rsidP="00000000" w:rsidRDefault="00000000" w:rsidRPr="00000000" w14:paraId="00000158">
      <w:pPr>
        <w:spacing w:after="160" w:lineRule="auto"/>
        <w:jc w:val="both"/>
        <w:rPr>
          <w:b w:val="0"/>
          <w:i w:val="1"/>
          <w:color w:val="000000"/>
          <w:shd w:fill="efefef" w:val="clear"/>
        </w:rPr>
      </w:pPr>
      <w:r w:rsidDel="00000000" w:rsidR="00000000" w:rsidRPr="00000000">
        <w:rPr>
          <w:b w:val="0"/>
          <w:i w:val="1"/>
          <w:color w:val="000000"/>
          <w:shd w:fill="efefef" w:val="clear"/>
          <w:rtl w:val="0"/>
        </w:rPr>
        <w:t xml:space="preserve">El contenido de coliformes fecales en aguas de riego destinadas al cultivo de verduras y frutas que se desarrollan a ras de suelo y que habitualmente se consumen en estado crudo, debe ser menor o igual a 1.000 coliformes fecales / 100 ml. (Ver A.2)</w:t>
      </w:r>
    </w:p>
    <w:p w:rsidR="00000000" w:rsidDel="00000000" w:rsidP="00000000" w:rsidRDefault="00000000" w:rsidRPr="00000000" w14:paraId="00000159">
      <w:pPr>
        <w:spacing w:after="160" w:lineRule="auto"/>
        <w:jc w:val="both"/>
        <w:rPr>
          <w:b w:val="0"/>
          <w:color w:val="000000"/>
          <w:shd w:fill="ffe599" w:val="clear"/>
        </w:rPr>
      </w:pPr>
      <w:r w:rsidDel="00000000" w:rsidR="00000000" w:rsidRPr="00000000">
        <w:rPr>
          <w:rtl w:val="0"/>
        </w:rPr>
      </w:r>
    </w:p>
    <w:p w:rsidR="00000000" w:rsidDel="00000000" w:rsidP="00000000" w:rsidRDefault="00000000" w:rsidRPr="00000000" w14:paraId="0000015A">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Incluir informes post mayo 2022</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76" w:lineRule="auto"/>
        <w:ind w:left="720" w:right="0" w:firstLine="0"/>
        <w:jc w:val="both"/>
        <w:rPr>
          <w:rFonts w:ascii="Century Gothic" w:cs="Century Gothic" w:eastAsia="Century Gothic" w:hAnsi="Century Gothic"/>
          <w:b w:val="1"/>
          <w:i w:val="0"/>
          <w:smallCaps w:val="0"/>
          <w:strike w:val="0"/>
          <w:color w:val="000000"/>
          <w:sz w:val="22"/>
          <w:szCs w:val="22"/>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2"/>
          <w:szCs w:val="22"/>
          <w:u w:val="none"/>
          <w:shd w:fill="auto" w:val="clear"/>
          <w:vertAlign w:val="baseline"/>
          <w:rtl w:val="0"/>
        </w:rPr>
        <w:t xml:space="preserve">Para efectos de verificar el comportamiento de los parámetros no muestreados desde el inicio de su monitoreo, se solicita acompañar todos los informes de muestreo de Riles obtenidos con posterioridad a mayo de 2022.</w:t>
      </w:r>
    </w:p>
    <w:p w:rsidR="00000000" w:rsidDel="00000000" w:rsidP="00000000" w:rsidRDefault="00000000" w:rsidRPr="00000000" w14:paraId="0000015C">
      <w:pPr>
        <w:spacing w:after="160" w:lineRule="auto"/>
        <w:jc w:val="both"/>
        <w:rPr>
          <w:color w:val="000000"/>
        </w:rPr>
      </w:pPr>
      <w:r w:rsidDel="00000000" w:rsidR="00000000" w:rsidRPr="00000000">
        <w:rPr>
          <w:color w:val="000000"/>
          <w:u w:val="single"/>
          <w:rtl w:val="0"/>
        </w:rPr>
        <w:t xml:space="preserve">Respuesta</w:t>
      </w:r>
      <w:r w:rsidDel="00000000" w:rsidR="00000000" w:rsidRPr="00000000">
        <w:rPr>
          <w:color w:val="000000"/>
          <w:rtl w:val="0"/>
        </w:rPr>
        <w:t xml:space="preserve">:</w:t>
      </w:r>
    </w:p>
    <w:p w:rsidR="00000000" w:rsidDel="00000000" w:rsidP="00000000" w:rsidRDefault="00000000" w:rsidRPr="00000000" w14:paraId="0000015D">
      <w:pPr>
        <w:spacing w:after="160" w:lineRule="auto"/>
        <w:jc w:val="both"/>
        <w:rPr>
          <w:b w:val="0"/>
          <w:color w:val="000000"/>
          <w:shd w:fill="efefef" w:val="clear"/>
        </w:rPr>
      </w:pPr>
      <w:r w:rsidDel="00000000" w:rsidR="00000000" w:rsidRPr="00000000">
        <w:rPr>
          <w:b w:val="0"/>
          <w:color w:val="000000"/>
          <w:shd w:fill="efefef" w:val="clear"/>
          <w:rtl w:val="0"/>
        </w:rPr>
        <w:t xml:space="preserve">En el PdC refundido, en el reporte inicial de la Acción N°20 en Anexo 2 se acompañan los informes de muestreo de Riles desde mayo 2022 a septiembre 2022</w:t>
      </w:r>
    </w:p>
    <w:p w:rsidR="00000000" w:rsidDel="00000000" w:rsidP="00000000" w:rsidRDefault="00000000" w:rsidRPr="00000000" w14:paraId="0000015E">
      <w:pPr>
        <w:spacing w:after="160" w:lineRule="auto"/>
        <w:jc w:val="both"/>
        <w:rPr/>
      </w:pPr>
      <w:r w:rsidDel="00000000" w:rsidR="00000000" w:rsidRPr="00000000">
        <w:rPr>
          <w:rtl w:val="0"/>
        </w:rPr>
      </w:r>
    </w:p>
    <w:sectPr>
      <w:headerReference r:id="rId10" w:type="default"/>
      <w:headerReference r:id="rId11" w:type="first"/>
      <w:footerReference r:id="rId12" w:type="default"/>
      <w:footerReference r:id="rId13" w:type="first"/>
      <w:footerReference r:id="rId14" w:type="even"/>
      <w:pgSz w:h="15840" w:w="12240" w:orient="portrait"/>
      <w:pgMar w:bottom="1985" w:top="1418" w:left="1842" w:right="1327" w:header="708" w:footer="56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Calibri"/>
  <w:font w:name="Georgia"/>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spacing w:after="160" w:lineRule="auto"/>
      <w:jc w:val="both"/>
      <w:rPr/>
    </w:pPr>
    <w:bookmarkStart w:colFirst="0" w:colLast="0" w:name="_heading=h.rg5r2q472ag3" w:id="1"/>
    <w:bookmarkEnd w:id="1"/>
    <w:r w:rsidDel="00000000" w:rsidR="00000000" w:rsidRPr="00000000">
      <w:rPr>
        <w:rtl w:val="0"/>
      </w:rPr>
    </w:r>
  </w:p>
  <w:p w:rsidR="00000000" w:rsidDel="00000000" w:rsidP="00000000" w:rsidRDefault="00000000" w:rsidRPr="00000000" w14:paraId="00000163">
    <w:pPr>
      <w:spacing w:after="240" w:before="240" w:lineRule="auto"/>
      <w:jc w:val="both"/>
      <w:rPr/>
    </w:pPr>
    <w:bookmarkStart w:colFirst="0" w:colLast="0" w:name="_heading=h.38zurtq4tm0r" w:id="2"/>
    <w:bookmarkEnd w:id="2"/>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center" w:pos="4419"/>
        <w:tab w:val="right" w:pos="8838"/>
      </w:tabs>
      <w:jc w:val="right"/>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center" w:pos="4419"/>
        <w:tab w:val="right" w:pos="8838"/>
      </w:tabs>
      <w:ind w:right="360"/>
      <w:jc w:val="center"/>
      <w:rPr>
        <w:color w:val="000000"/>
        <w:sz w:val="20"/>
        <w:szCs w:val="20"/>
      </w:rPr>
    </w:pPr>
    <w:r w:rsidDel="00000000" w:rsidR="00000000" w:rsidRPr="00000000">
      <w:rPr>
        <w:sz w:val="20"/>
        <w:szCs w:val="20"/>
      </w:rPr>
      <w:drawing>
        <wp:inline distB="114300" distT="114300" distL="114300" distR="114300">
          <wp:extent cx="1787165" cy="568174"/>
          <wp:effectExtent b="0" l="0" r="0" t="0"/>
          <wp:docPr id="5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87165" cy="568174"/>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center" w:pos="4419"/>
        <w:tab w:val="right" w:pos="8838"/>
      </w:tabs>
      <w:jc w:val="right"/>
      <w:rPr>
        <w:color w:val="000000"/>
      </w:rPr>
    </w:pP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center" w:pos="4419"/>
        <w:tab w:val="right" w:pos="8838"/>
      </w:tabs>
      <w:ind w:right="360"/>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center" w:pos="4419"/>
        <w:tab w:val="right" w:pos="8838"/>
      </w:tabs>
      <w:ind w:right="360"/>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pos="4419"/>
        <w:tab w:val="right" w:pos="8838"/>
      </w:tabs>
      <w:jc w:val="right"/>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pos="4419"/>
        <w:tab w:val="right" w:pos="88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pos="4419"/>
        <w:tab w:val="right" w:pos="8838"/>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F">
    <w:pPr>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0">
    <w:pPr>
      <w:tabs>
        <w:tab w:val="center" w:pos="4419"/>
        <w:tab w:val="right" w:pos="8838"/>
      </w:tabs>
      <w:spacing w:after="120" w:before="120" w:lineRule="auto"/>
      <w:jc w:val="right"/>
      <w:rPr>
        <w:rFonts w:ascii="Calibri" w:cs="Calibri" w:eastAsia="Calibri" w:hAnsi="Calibri"/>
      </w:rPr>
    </w:pPr>
    <w:r w:rsidDel="00000000" w:rsidR="00000000" w:rsidRPr="00000000">
      <w:rPr>
        <w:color w:val="1f4e79"/>
        <w:highlight w:val="white"/>
      </w:rPr>
      <w:drawing>
        <wp:inline distB="114300" distT="114300" distL="114300" distR="114300">
          <wp:extent cx="1609408" cy="420234"/>
          <wp:effectExtent b="0" l="0" r="0" t="0"/>
          <wp:docPr id="5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609408" cy="420234"/>
                  </a:xfrm>
                  <a:prstGeom prst="rect"/>
                  <a:ln/>
                </pic:spPr>
              </pic:pic>
            </a:graphicData>
          </a:graphic>
        </wp:inline>
      </w:drawing>
    </w: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pos="4419"/>
        <w:tab w:val="right" w:pos="8838"/>
      </w:tabs>
      <w:jc w:val="both"/>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entury Gothic" w:cs="Century Gothic" w:eastAsia="Century Gothic" w:hAnsi="Century Gothic"/>
        <w:b w:val="1"/>
        <w:color w:val="5a5a5a"/>
        <w:sz w:val="22"/>
        <w:szCs w:val="22"/>
        <w:lang w:val="es-C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jc w:val="both"/>
    </w:pPr>
    <w:rPr>
      <w:rFonts w:ascii="Verdana" w:cs="Verdana" w:eastAsia="Verdana" w:hAnsi="Verdana"/>
      <w:smallCaps w:val="1"/>
      <w:sz w:val="20"/>
      <w:szCs w:val="20"/>
    </w:rPr>
  </w:style>
  <w:style w:type="paragraph" w:styleId="Heading2">
    <w:name w:val="heading 2"/>
    <w:basedOn w:val="Normal"/>
    <w:next w:val="Normal"/>
    <w:pPr>
      <w:keepNext w:val="1"/>
      <w:keepLines w:val="1"/>
      <w:spacing w:before="200" w:lineRule="auto"/>
      <w:ind w:left="1440" w:hanging="360"/>
      <w:jc w:val="both"/>
    </w:pPr>
    <w:rPr/>
  </w:style>
  <w:style w:type="paragraph" w:styleId="Heading3">
    <w:name w:val="heading 3"/>
    <w:basedOn w:val="Normal"/>
    <w:next w:val="Normal"/>
    <w:pPr>
      <w:keepNext w:val="1"/>
      <w:keepLines w:val="1"/>
      <w:spacing w:before="200" w:lineRule="auto"/>
      <w:ind w:left="2160" w:hanging="360"/>
      <w:jc w:val="both"/>
    </w:pPr>
    <w:rPr/>
  </w:style>
  <w:style w:type="paragraph" w:styleId="Heading4">
    <w:name w:val="heading 4"/>
    <w:basedOn w:val="Normal"/>
    <w:next w:val="Normal"/>
    <w:pPr>
      <w:keepNext w:val="1"/>
      <w:keepLines w:val="1"/>
      <w:spacing w:before="40" w:lineRule="auto"/>
      <w:ind w:left="2880" w:hanging="360"/>
      <w:jc w:val="both"/>
    </w:pPr>
    <w:rPr>
      <w:rFonts w:ascii="Calibri" w:cs="Calibri" w:eastAsia="Calibri" w:hAnsi="Calibri"/>
      <w:i w:val="1"/>
      <w:color w:val="2f5496"/>
    </w:rPr>
  </w:style>
  <w:style w:type="paragraph" w:styleId="Heading5">
    <w:name w:val="heading 5"/>
    <w:basedOn w:val="Normal"/>
    <w:next w:val="Normal"/>
    <w:pPr>
      <w:keepNext w:val="1"/>
      <w:keepLines w:val="1"/>
      <w:spacing w:before="40" w:lineRule="auto"/>
      <w:ind w:left="3600" w:hanging="360"/>
      <w:jc w:val="both"/>
    </w:pPr>
    <w:rPr>
      <w:rFonts w:ascii="Calibri" w:cs="Calibri" w:eastAsia="Calibri" w:hAnsi="Calibri"/>
      <w:color w:val="2f5496"/>
    </w:rPr>
  </w:style>
  <w:style w:type="paragraph" w:styleId="Heading6">
    <w:name w:val="heading 6"/>
    <w:basedOn w:val="Normal"/>
    <w:next w:val="Normal"/>
    <w:pPr>
      <w:keepNext w:val="1"/>
      <w:keepLines w:val="1"/>
      <w:spacing w:before="40" w:lineRule="auto"/>
      <w:ind w:left="4320" w:hanging="360"/>
      <w:jc w:val="both"/>
    </w:pPr>
    <w:rPr>
      <w:rFonts w:ascii="Calibri" w:cs="Calibri" w:eastAsia="Calibri" w:hAnsi="Calibri"/>
      <w:color w:val="1f3863"/>
    </w:rPr>
  </w:style>
  <w:style w:type="paragraph" w:styleId="Title">
    <w:name w:val="Title"/>
    <w:basedOn w:val="Normal"/>
    <w:next w:val="Normal"/>
    <w:pPr>
      <w:keepNext w:val="1"/>
      <w:keepLines w:val="1"/>
      <w:spacing w:after="120" w:before="480" w:lineRule="auto"/>
    </w:pPr>
    <w:rPr>
      <w:sz w:val="72"/>
      <w:szCs w:val="72"/>
    </w:rPr>
  </w:style>
  <w:style w:type="paragraph" w:styleId="Normal" w:default="1">
    <w:name w:val="Normal"/>
    <w:qFormat w:val="1"/>
    <w:rsid w:val="005804EE"/>
    <w:rPr>
      <w:lang w:eastAsia="es-ES_tradnl"/>
    </w:rPr>
  </w:style>
  <w:style w:type="paragraph" w:styleId="Ttulo1">
    <w:name w:val="heading 1"/>
    <w:basedOn w:val="Normal"/>
    <w:next w:val="Normal"/>
    <w:link w:val="Ttulo1Car"/>
    <w:uiPriority w:val="9"/>
    <w:qFormat w:val="1"/>
    <w:rsid w:val="002F4D65"/>
    <w:pPr>
      <w:keepNext w:val="1"/>
      <w:keepLines w:val="1"/>
      <w:spacing w:after="240"/>
      <w:jc w:val="both"/>
      <w:outlineLvl w:val="0"/>
    </w:pPr>
    <w:rPr>
      <w:rFonts w:ascii="Verdana" w:hAnsi="Verdana"/>
      <w:caps w:val="1"/>
      <w:kern w:val="22"/>
      <w:sz w:val="20"/>
      <w:szCs w:val="20"/>
      <w:lang w:eastAsia="it-IT" w:val="es-ES"/>
    </w:rPr>
  </w:style>
  <w:style w:type="paragraph" w:styleId="Ttulo2">
    <w:name w:val="heading 2"/>
    <w:basedOn w:val="Normal"/>
    <w:next w:val="Normal"/>
    <w:link w:val="Ttulo2Car"/>
    <w:uiPriority w:val="9"/>
    <w:semiHidden w:val="1"/>
    <w:unhideWhenUsed w:val="1"/>
    <w:qFormat w:val="1"/>
    <w:rsid w:val="002F4D65"/>
    <w:pPr>
      <w:keepNext w:val="1"/>
      <w:keepLines w:val="1"/>
      <w:numPr>
        <w:ilvl w:val="1"/>
        <w:numId w:val="1"/>
      </w:numPr>
      <w:spacing w:before="200"/>
      <w:jc w:val="both"/>
      <w:outlineLvl w:val="1"/>
    </w:pPr>
    <w:rPr>
      <w:rFonts w:cstheme="majorBidi" w:eastAsiaTheme="majorEastAsia"/>
      <w:bCs w:val="1"/>
      <w:szCs w:val="26"/>
    </w:rPr>
  </w:style>
  <w:style w:type="paragraph" w:styleId="Ttulo3">
    <w:name w:val="heading 3"/>
    <w:basedOn w:val="Normal"/>
    <w:next w:val="Normal"/>
    <w:link w:val="Ttulo3Car"/>
    <w:uiPriority w:val="9"/>
    <w:semiHidden w:val="1"/>
    <w:unhideWhenUsed w:val="1"/>
    <w:qFormat w:val="1"/>
    <w:rsid w:val="002F4D65"/>
    <w:pPr>
      <w:keepNext w:val="1"/>
      <w:keepLines w:val="1"/>
      <w:numPr>
        <w:ilvl w:val="2"/>
        <w:numId w:val="1"/>
      </w:numPr>
      <w:spacing w:before="200"/>
      <w:jc w:val="both"/>
      <w:outlineLvl w:val="2"/>
    </w:pPr>
    <w:rPr>
      <w:rFonts w:cstheme="majorBidi" w:eastAsiaTheme="majorEastAsia"/>
      <w:bCs w:val="1"/>
    </w:rPr>
  </w:style>
  <w:style w:type="paragraph" w:styleId="Ttulo4">
    <w:name w:val="heading 4"/>
    <w:basedOn w:val="Normal"/>
    <w:next w:val="Normal"/>
    <w:link w:val="Ttulo4Car"/>
    <w:uiPriority w:val="9"/>
    <w:unhideWhenUsed w:val="1"/>
    <w:qFormat w:val="1"/>
    <w:rsid w:val="002F4D65"/>
    <w:pPr>
      <w:keepNext w:val="1"/>
      <w:keepLines w:val="1"/>
      <w:numPr>
        <w:ilvl w:val="3"/>
        <w:numId w:val="1"/>
      </w:numPr>
      <w:spacing w:before="40"/>
      <w:jc w:val="both"/>
      <w:outlineLvl w:val="3"/>
    </w:pPr>
    <w:rPr>
      <w:rFonts w:asciiTheme="majorHAnsi" w:cstheme="majorBidi" w:eastAsiaTheme="majorEastAsia" w:hAnsiTheme="majorHAnsi"/>
      <w:i w:val="1"/>
      <w:iCs w:val="1"/>
      <w:color w:val="2f5496" w:themeColor="accent1" w:themeShade="0000BF"/>
    </w:rPr>
  </w:style>
  <w:style w:type="paragraph" w:styleId="Ttulo5">
    <w:name w:val="heading 5"/>
    <w:basedOn w:val="Normal"/>
    <w:next w:val="Normal"/>
    <w:link w:val="Ttulo5Car"/>
    <w:uiPriority w:val="9"/>
    <w:semiHidden w:val="1"/>
    <w:unhideWhenUsed w:val="1"/>
    <w:qFormat w:val="1"/>
    <w:rsid w:val="002F4D65"/>
    <w:pPr>
      <w:keepNext w:val="1"/>
      <w:keepLines w:val="1"/>
      <w:numPr>
        <w:ilvl w:val="4"/>
        <w:numId w:val="1"/>
      </w:numPr>
      <w:spacing w:before="40"/>
      <w:jc w:val="both"/>
      <w:outlineLvl w:val="4"/>
    </w:pPr>
    <w:rPr>
      <w:rFonts w:asciiTheme="majorHAnsi" w:cstheme="majorBidi" w:eastAsiaTheme="majorEastAsia" w:hAnsiTheme="majorHAnsi"/>
      <w:color w:val="2f5496" w:themeColor="accent1" w:themeShade="0000BF"/>
    </w:rPr>
  </w:style>
  <w:style w:type="paragraph" w:styleId="Ttulo6">
    <w:name w:val="heading 6"/>
    <w:basedOn w:val="Normal"/>
    <w:next w:val="Normal"/>
    <w:link w:val="Ttulo6Car"/>
    <w:uiPriority w:val="9"/>
    <w:semiHidden w:val="1"/>
    <w:unhideWhenUsed w:val="1"/>
    <w:qFormat w:val="1"/>
    <w:rsid w:val="002F4D65"/>
    <w:pPr>
      <w:keepNext w:val="1"/>
      <w:keepLines w:val="1"/>
      <w:numPr>
        <w:ilvl w:val="5"/>
        <w:numId w:val="1"/>
      </w:numPr>
      <w:spacing w:before="40"/>
      <w:jc w:val="both"/>
      <w:outlineLvl w:val="5"/>
    </w:pPr>
    <w:rPr>
      <w:rFonts w:asciiTheme="majorHAnsi" w:cstheme="majorBidi" w:eastAsiaTheme="majorEastAsia" w:hAnsiTheme="majorHAnsi"/>
      <w:color w:val="1f3763" w:themeColor="accent1" w:themeShade="00007F"/>
    </w:rPr>
  </w:style>
  <w:style w:type="paragraph" w:styleId="Ttulo7">
    <w:name w:val="heading 7"/>
    <w:basedOn w:val="Normal"/>
    <w:next w:val="Normal"/>
    <w:link w:val="Ttulo7Car"/>
    <w:unhideWhenUsed w:val="1"/>
    <w:qFormat w:val="1"/>
    <w:rsid w:val="002F4D65"/>
    <w:pPr>
      <w:keepNext w:val="1"/>
      <w:keepLines w:val="1"/>
      <w:numPr>
        <w:ilvl w:val="6"/>
        <w:numId w:val="1"/>
      </w:numPr>
      <w:spacing w:before="40"/>
      <w:jc w:val="both"/>
      <w:outlineLvl w:val="6"/>
    </w:pPr>
    <w:rPr>
      <w:rFonts w:asciiTheme="majorHAnsi" w:cstheme="majorBidi" w:eastAsiaTheme="majorEastAsia" w:hAnsiTheme="majorHAnsi"/>
      <w:i w:val="1"/>
      <w:iCs w:val="1"/>
      <w:color w:val="1f3763" w:themeColor="accent1" w:themeShade="00007F"/>
    </w:rPr>
  </w:style>
  <w:style w:type="paragraph" w:styleId="Ttulo8">
    <w:name w:val="heading 8"/>
    <w:basedOn w:val="Normal"/>
    <w:next w:val="Normal"/>
    <w:link w:val="Ttulo8Car"/>
    <w:unhideWhenUsed w:val="1"/>
    <w:qFormat w:val="1"/>
    <w:rsid w:val="002F4D65"/>
    <w:pPr>
      <w:keepNext w:val="1"/>
      <w:keepLines w:val="1"/>
      <w:numPr>
        <w:ilvl w:val="7"/>
        <w:numId w:val="1"/>
      </w:numPr>
      <w:spacing w:before="40"/>
      <w:jc w:val="both"/>
      <w:outlineLvl w:val="7"/>
    </w:pPr>
    <w:rPr>
      <w:rFonts w:asciiTheme="majorHAnsi" w:cstheme="majorBidi" w:eastAsiaTheme="majorEastAsia" w:hAnsiTheme="majorHAnsi"/>
      <w:color w:val="272727" w:themeColor="text1" w:themeTint="0000D8"/>
      <w:sz w:val="21"/>
      <w:szCs w:val="21"/>
    </w:rPr>
  </w:style>
  <w:style w:type="paragraph" w:styleId="Ttulo9">
    <w:name w:val="heading 9"/>
    <w:basedOn w:val="Normal"/>
    <w:next w:val="Normal"/>
    <w:link w:val="Ttulo9Car"/>
    <w:semiHidden w:val="1"/>
    <w:unhideWhenUsed w:val="1"/>
    <w:qFormat w:val="1"/>
    <w:rsid w:val="002F4D65"/>
    <w:pPr>
      <w:keepNext w:val="1"/>
      <w:keepLines w:val="1"/>
      <w:numPr>
        <w:ilvl w:val="8"/>
        <w:numId w:val="1"/>
      </w:numPr>
      <w:spacing w:before="40"/>
      <w:jc w:val="both"/>
      <w:outlineLvl w:val="8"/>
    </w:pPr>
    <w:rPr>
      <w:rFonts w:asciiTheme="majorHAnsi" w:cstheme="majorBidi" w:eastAsiaTheme="majorEastAsia" w:hAnsiTheme="majorHAnsi"/>
      <w:i w:val="1"/>
      <w:iCs w:val="1"/>
      <w:color w:val="272727" w:themeColor="text1" w:themeTint="0000D8"/>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aliases w:val="Fuente"/>
    <w:basedOn w:val="Normal"/>
    <w:next w:val="Normal"/>
    <w:link w:val="TtuloCar"/>
    <w:uiPriority w:val="10"/>
    <w:qFormat w:val="1"/>
    <w:pPr>
      <w:keepNext w:val="1"/>
      <w:keepLines w:val="1"/>
      <w:spacing w:after="120" w:before="480"/>
    </w:pPr>
    <w:rPr>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paragraph" w:styleId="Textoindependiente">
    <w:name w:val="Body Text"/>
    <w:basedOn w:val="Normal"/>
    <w:link w:val="TextoindependienteCar"/>
    <w:qFormat w:val="1"/>
    <w:rsid w:val="002F4D65"/>
    <w:pPr>
      <w:widowControl w:val="0"/>
      <w:autoSpaceDE w:val="0"/>
      <w:autoSpaceDN w:val="0"/>
    </w:pPr>
    <w:rPr>
      <w:rFonts w:ascii="Arial" w:cs="Arial" w:eastAsia="Arial" w:hAnsi="Arial"/>
      <w:sz w:val="17"/>
      <w:szCs w:val="17"/>
      <w:lang w:val="en-US"/>
    </w:rPr>
  </w:style>
  <w:style w:type="character" w:styleId="TextoindependienteCar" w:customStyle="1">
    <w:name w:val="Texto independiente Car"/>
    <w:basedOn w:val="Fuentedeprrafopredeter"/>
    <w:link w:val="Textoindependiente"/>
    <w:rsid w:val="002F4D65"/>
    <w:rPr>
      <w:rFonts w:ascii="Arial" w:cs="Arial" w:eastAsia="Arial" w:hAnsi="Arial"/>
      <w:sz w:val="17"/>
      <w:szCs w:val="17"/>
      <w:lang w:val="en-US"/>
    </w:rPr>
  </w:style>
  <w:style w:type="character" w:styleId="Ttulo1Car" w:customStyle="1">
    <w:name w:val="Título 1 Car"/>
    <w:basedOn w:val="Fuentedeprrafopredeter"/>
    <w:link w:val="Ttulo1"/>
    <w:rsid w:val="002F4D65"/>
    <w:rPr>
      <w:rFonts w:ascii="Verdana" w:cs="Times New Roman" w:eastAsia="Times New Roman" w:hAnsi="Verdana"/>
      <w:b w:val="1"/>
      <w:caps w:val="1"/>
      <w:kern w:val="22"/>
      <w:sz w:val="20"/>
      <w:szCs w:val="20"/>
      <w:lang w:eastAsia="it-IT" w:val="es-ES"/>
    </w:rPr>
  </w:style>
  <w:style w:type="character" w:styleId="Ttulo2Car" w:customStyle="1">
    <w:name w:val="Título 2 Car"/>
    <w:basedOn w:val="Fuentedeprrafopredeter"/>
    <w:link w:val="Ttulo2"/>
    <w:uiPriority w:val="9"/>
    <w:semiHidden w:val="1"/>
    <w:rsid w:val="002F4D65"/>
    <w:rPr>
      <w:rFonts w:cstheme="majorBidi" w:eastAsiaTheme="majorEastAsia"/>
      <w:bCs w:val="1"/>
      <w:szCs w:val="26"/>
      <w:lang w:eastAsia="es-ES_tradnl"/>
    </w:rPr>
  </w:style>
  <w:style w:type="character" w:styleId="Ttulo3Car" w:customStyle="1">
    <w:name w:val="Título 3 Car"/>
    <w:basedOn w:val="Fuentedeprrafopredeter"/>
    <w:link w:val="Ttulo3"/>
    <w:uiPriority w:val="9"/>
    <w:semiHidden w:val="1"/>
    <w:rsid w:val="002F4D65"/>
    <w:rPr>
      <w:rFonts w:cstheme="majorBidi" w:eastAsiaTheme="majorEastAsia"/>
      <w:bCs w:val="1"/>
      <w:lang w:eastAsia="es-ES_tradnl"/>
    </w:rPr>
  </w:style>
  <w:style w:type="character" w:styleId="Ttulo4Car" w:customStyle="1">
    <w:name w:val="Título 4 Car"/>
    <w:basedOn w:val="Fuentedeprrafopredeter"/>
    <w:link w:val="Ttulo4"/>
    <w:uiPriority w:val="9"/>
    <w:rsid w:val="002F4D65"/>
    <w:rPr>
      <w:rFonts w:asciiTheme="majorHAnsi" w:cstheme="majorBidi" w:eastAsiaTheme="majorEastAsia" w:hAnsiTheme="majorHAnsi"/>
      <w:i w:val="1"/>
      <w:iCs w:val="1"/>
      <w:color w:val="2f5496" w:themeColor="accent1" w:themeShade="0000BF"/>
      <w:lang w:eastAsia="es-ES_tradnl"/>
    </w:rPr>
  </w:style>
  <w:style w:type="character" w:styleId="Ttulo5Car" w:customStyle="1">
    <w:name w:val="Título 5 Car"/>
    <w:basedOn w:val="Fuentedeprrafopredeter"/>
    <w:link w:val="Ttulo5"/>
    <w:uiPriority w:val="9"/>
    <w:semiHidden w:val="1"/>
    <w:rsid w:val="002F4D65"/>
    <w:rPr>
      <w:rFonts w:asciiTheme="majorHAnsi" w:cstheme="majorBidi" w:eastAsiaTheme="majorEastAsia" w:hAnsiTheme="majorHAnsi"/>
      <w:color w:val="2f5496" w:themeColor="accent1" w:themeShade="0000BF"/>
      <w:lang w:eastAsia="es-ES_tradnl"/>
    </w:rPr>
  </w:style>
  <w:style w:type="character" w:styleId="Ttulo6Car" w:customStyle="1">
    <w:name w:val="Título 6 Car"/>
    <w:basedOn w:val="Fuentedeprrafopredeter"/>
    <w:link w:val="Ttulo6"/>
    <w:uiPriority w:val="9"/>
    <w:semiHidden w:val="1"/>
    <w:rsid w:val="002F4D65"/>
    <w:rPr>
      <w:rFonts w:asciiTheme="majorHAnsi" w:cstheme="majorBidi" w:eastAsiaTheme="majorEastAsia" w:hAnsiTheme="majorHAnsi"/>
      <w:color w:val="1f3763" w:themeColor="accent1" w:themeShade="00007F"/>
      <w:lang w:eastAsia="es-ES_tradnl"/>
    </w:rPr>
  </w:style>
  <w:style w:type="character" w:styleId="Ttulo7Car" w:customStyle="1">
    <w:name w:val="Título 7 Car"/>
    <w:basedOn w:val="Fuentedeprrafopredeter"/>
    <w:link w:val="Ttulo7"/>
    <w:rsid w:val="002F4D65"/>
    <w:rPr>
      <w:rFonts w:asciiTheme="majorHAnsi" w:cstheme="majorBidi" w:eastAsiaTheme="majorEastAsia" w:hAnsiTheme="majorHAnsi"/>
      <w:i w:val="1"/>
      <w:iCs w:val="1"/>
      <w:color w:val="1f3763" w:themeColor="accent1" w:themeShade="00007F"/>
      <w:lang w:eastAsia="es-ES_tradnl"/>
    </w:rPr>
  </w:style>
  <w:style w:type="character" w:styleId="Ttulo8Car" w:customStyle="1">
    <w:name w:val="Título 8 Car"/>
    <w:basedOn w:val="Fuentedeprrafopredeter"/>
    <w:link w:val="Ttulo8"/>
    <w:rsid w:val="002F4D65"/>
    <w:rPr>
      <w:rFonts w:asciiTheme="majorHAnsi" w:cstheme="majorBidi" w:eastAsiaTheme="majorEastAsia" w:hAnsiTheme="majorHAnsi"/>
      <w:color w:val="272727" w:themeColor="text1" w:themeTint="0000D8"/>
      <w:sz w:val="21"/>
      <w:szCs w:val="21"/>
      <w:lang w:eastAsia="es-ES_tradnl"/>
    </w:rPr>
  </w:style>
  <w:style w:type="character" w:styleId="Ttulo9Car" w:customStyle="1">
    <w:name w:val="Título 9 Car"/>
    <w:basedOn w:val="Fuentedeprrafopredeter"/>
    <w:link w:val="Ttulo9"/>
    <w:semiHidden w:val="1"/>
    <w:rsid w:val="002F4D65"/>
    <w:rPr>
      <w:rFonts w:asciiTheme="majorHAnsi" w:cstheme="majorBidi" w:eastAsiaTheme="majorEastAsia" w:hAnsiTheme="majorHAnsi"/>
      <w:i w:val="1"/>
      <w:iCs w:val="1"/>
      <w:color w:val="272727" w:themeColor="text1" w:themeTint="0000D8"/>
      <w:sz w:val="21"/>
      <w:szCs w:val="21"/>
      <w:lang w:eastAsia="es-ES_tradnl"/>
    </w:rPr>
  </w:style>
  <w:style w:type="paragraph" w:styleId="Prrafodelista">
    <w:name w:val="List Paragraph"/>
    <w:aliases w:val="viñeta,viñeta proust,Contenido"/>
    <w:basedOn w:val="Normal"/>
    <w:link w:val="PrrafodelistaCar"/>
    <w:uiPriority w:val="1"/>
    <w:qFormat w:val="1"/>
    <w:rsid w:val="002F4D65"/>
    <w:pPr>
      <w:widowControl w:val="0"/>
      <w:ind w:left="708"/>
      <w:jc w:val="both"/>
    </w:pPr>
    <w:rPr>
      <w:lang w:eastAsia="it-IT"/>
    </w:rPr>
  </w:style>
  <w:style w:type="character" w:styleId="PrrafodelistaCar" w:customStyle="1">
    <w:name w:val="Párrafo de lista Car"/>
    <w:aliases w:val="viñeta Car,viñeta proust Car,Contenido Car"/>
    <w:basedOn w:val="Fuentedeprrafopredeter"/>
    <w:link w:val="Prrafodelista"/>
    <w:uiPriority w:val="34"/>
    <w:qFormat w:val="1"/>
    <w:rsid w:val="002F4D65"/>
    <w:rPr>
      <w:rFonts w:ascii="Century Gothic" w:cs="Times New Roman" w:eastAsia="Times New Roman" w:hAnsi="Century Gothic"/>
      <w:lang w:eastAsia="it-IT"/>
    </w:rPr>
  </w:style>
  <w:style w:type="character" w:styleId="Refdecomentario">
    <w:name w:val="annotation reference"/>
    <w:uiPriority w:val="99"/>
    <w:unhideWhenUsed w:val="1"/>
    <w:rsid w:val="002F4D65"/>
    <w:rPr>
      <w:sz w:val="16"/>
      <w:szCs w:val="16"/>
    </w:rPr>
  </w:style>
  <w:style w:type="paragraph" w:styleId="Textocomentario">
    <w:name w:val="annotation text"/>
    <w:basedOn w:val="Normal"/>
    <w:link w:val="TextocomentarioCar"/>
    <w:uiPriority w:val="99"/>
    <w:unhideWhenUsed w:val="1"/>
    <w:rsid w:val="002F4D65"/>
    <w:pPr>
      <w:widowControl w:val="0"/>
      <w:jc w:val="both"/>
    </w:pPr>
    <w:rPr>
      <w:sz w:val="20"/>
      <w:szCs w:val="20"/>
      <w:lang w:eastAsia="it-IT" w:val="x-none"/>
    </w:rPr>
  </w:style>
  <w:style w:type="character" w:styleId="TextocomentarioCar" w:customStyle="1">
    <w:name w:val="Texto comentario Car"/>
    <w:basedOn w:val="Fuentedeprrafopredeter"/>
    <w:link w:val="Textocomentario"/>
    <w:uiPriority w:val="99"/>
    <w:rsid w:val="002F4D65"/>
    <w:rPr>
      <w:rFonts w:ascii="Century Gothic" w:cs="Times New Roman" w:eastAsia="Times New Roman" w:hAnsi="Century Gothic"/>
      <w:sz w:val="20"/>
      <w:szCs w:val="20"/>
      <w:lang w:eastAsia="it-IT" w:val="x-none"/>
    </w:rPr>
  </w:style>
  <w:style w:type="paragraph" w:styleId="Textodeglobo">
    <w:name w:val="Balloon Text"/>
    <w:basedOn w:val="Normal"/>
    <w:link w:val="TextodegloboCar"/>
    <w:semiHidden w:val="1"/>
    <w:unhideWhenUsed w:val="1"/>
    <w:rsid w:val="002F4D65"/>
    <w:rPr>
      <w:rFonts w:ascii="Segoe UI" w:cs="Segoe UI" w:hAnsi="Segoe UI"/>
      <w:sz w:val="18"/>
      <w:szCs w:val="18"/>
    </w:rPr>
  </w:style>
  <w:style w:type="character" w:styleId="TextodegloboCar" w:customStyle="1">
    <w:name w:val="Texto de globo Car"/>
    <w:basedOn w:val="Fuentedeprrafopredeter"/>
    <w:link w:val="Textodeglobo"/>
    <w:semiHidden w:val="1"/>
    <w:rsid w:val="002F4D65"/>
    <w:rPr>
      <w:rFonts w:ascii="Segoe UI" w:cs="Segoe UI" w:hAnsi="Segoe UI"/>
      <w:noProof w:val="1"/>
      <w:sz w:val="18"/>
      <w:szCs w:val="18"/>
    </w:rPr>
  </w:style>
  <w:style w:type="paragraph" w:styleId="Encabezado">
    <w:name w:val="header"/>
    <w:aliases w:val="encabezado"/>
    <w:basedOn w:val="Normal"/>
    <w:link w:val="EncabezadoCar"/>
    <w:uiPriority w:val="99"/>
    <w:unhideWhenUsed w:val="1"/>
    <w:rsid w:val="002072F5"/>
    <w:pPr>
      <w:tabs>
        <w:tab w:val="center" w:pos="4419"/>
        <w:tab w:val="right" w:pos="8838"/>
      </w:tabs>
    </w:pPr>
  </w:style>
  <w:style w:type="character" w:styleId="EncabezadoCar" w:customStyle="1">
    <w:name w:val="Encabezado Car"/>
    <w:aliases w:val="encabezado Car"/>
    <w:basedOn w:val="Fuentedeprrafopredeter"/>
    <w:link w:val="Encabezado"/>
    <w:uiPriority w:val="99"/>
    <w:rsid w:val="002072F5"/>
    <w:rPr>
      <w:noProof w:val="1"/>
    </w:rPr>
  </w:style>
  <w:style w:type="paragraph" w:styleId="Piedepgina">
    <w:name w:val="footer"/>
    <w:basedOn w:val="Normal"/>
    <w:link w:val="PiedepginaCar"/>
    <w:uiPriority w:val="99"/>
    <w:unhideWhenUsed w:val="1"/>
    <w:rsid w:val="002072F5"/>
    <w:pPr>
      <w:tabs>
        <w:tab w:val="center" w:pos="4419"/>
        <w:tab w:val="right" w:pos="8838"/>
      </w:tabs>
    </w:pPr>
  </w:style>
  <w:style w:type="character" w:styleId="PiedepginaCar" w:customStyle="1">
    <w:name w:val="Pie de página Car"/>
    <w:basedOn w:val="Fuentedeprrafopredeter"/>
    <w:link w:val="Piedepgina"/>
    <w:uiPriority w:val="99"/>
    <w:rsid w:val="002072F5"/>
    <w:rPr>
      <w:noProof w:val="1"/>
    </w:rPr>
  </w:style>
  <w:style w:type="character" w:styleId="Hipervnculo">
    <w:name w:val="Hyperlink"/>
    <w:basedOn w:val="Fuentedeprrafopredeter"/>
    <w:uiPriority w:val="99"/>
    <w:unhideWhenUsed w:val="1"/>
    <w:rsid w:val="00D9098C"/>
    <w:rPr>
      <w:color w:val="0563c1" w:themeColor="hyperlink"/>
      <w:u w:val="single"/>
    </w:rPr>
  </w:style>
  <w:style w:type="character" w:styleId="Mencinsinresolver">
    <w:name w:val="Unresolved Mention"/>
    <w:basedOn w:val="Fuentedeprrafopredeter"/>
    <w:uiPriority w:val="99"/>
    <w:semiHidden w:val="1"/>
    <w:unhideWhenUsed w:val="1"/>
    <w:rsid w:val="00D9098C"/>
    <w:rPr>
      <w:color w:val="605e5c"/>
      <w:shd w:color="auto" w:fill="e1dfdd" w:val="clear"/>
    </w:rPr>
  </w:style>
  <w:style w:type="paragraph" w:styleId="Default" w:customStyle="1">
    <w:name w:val="Default"/>
    <w:rsid w:val="00FE4318"/>
    <w:pPr>
      <w:autoSpaceDE w:val="0"/>
      <w:autoSpaceDN w:val="0"/>
      <w:adjustRightInd w:val="0"/>
    </w:pPr>
    <w:rPr>
      <w:color w:val="000000"/>
    </w:rPr>
  </w:style>
  <w:style w:type="paragraph" w:styleId="Textonotapie">
    <w:name w:val="footnote text"/>
    <w:basedOn w:val="Normal"/>
    <w:link w:val="TextonotapieCar"/>
    <w:uiPriority w:val="99"/>
    <w:unhideWhenUsed w:val="1"/>
    <w:rsid w:val="00015FDA"/>
    <w:pPr>
      <w:widowControl w:val="0"/>
      <w:jc w:val="both"/>
    </w:pPr>
    <w:rPr>
      <w:rFonts w:ascii="Verdana" w:hAnsi="Verdana"/>
      <w:sz w:val="20"/>
      <w:szCs w:val="20"/>
      <w:lang w:eastAsia="it-IT" w:val="es-ES"/>
    </w:rPr>
  </w:style>
  <w:style w:type="character" w:styleId="TextonotapieCar" w:customStyle="1">
    <w:name w:val="Texto nota pie Car"/>
    <w:basedOn w:val="Fuentedeprrafopredeter"/>
    <w:link w:val="Textonotapie"/>
    <w:uiPriority w:val="99"/>
    <w:rsid w:val="00015FDA"/>
    <w:rPr>
      <w:rFonts w:ascii="Verdana" w:cs="Times New Roman" w:eastAsia="Times New Roman" w:hAnsi="Verdana"/>
      <w:sz w:val="20"/>
      <w:szCs w:val="20"/>
      <w:lang w:eastAsia="it-IT" w:val="es-ES"/>
    </w:rPr>
  </w:style>
  <w:style w:type="character" w:styleId="Refdenotaalpie">
    <w:name w:val="footnote reference"/>
    <w:unhideWhenUsed w:val="1"/>
    <w:rsid w:val="00015FDA"/>
    <w:rPr>
      <w:vertAlign w:val="superscript"/>
    </w:rPr>
  </w:style>
  <w:style w:type="table" w:styleId="Tablaconcuadrcula">
    <w:name w:val="Table Grid"/>
    <w:basedOn w:val="Tablanormal"/>
    <w:uiPriority w:val="99"/>
    <w:rsid w:val="0099212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Normal"/>
    <w:uiPriority w:val="1"/>
    <w:qFormat w:val="1"/>
    <w:rsid w:val="00E920F6"/>
    <w:pPr>
      <w:widowControl w:val="0"/>
      <w:autoSpaceDE w:val="0"/>
      <w:autoSpaceDN w:val="0"/>
    </w:pPr>
    <w:rPr>
      <w:lang w:val="es-ES"/>
    </w:rPr>
  </w:style>
  <w:style w:type="table" w:styleId="TableNormal10" w:customStyle="1">
    <w:name w:val="Table Normal1"/>
    <w:uiPriority w:val="2"/>
    <w:semiHidden w:val="1"/>
    <w:qFormat w:val="1"/>
    <w:rsid w:val="00E920F6"/>
    <w:pPr>
      <w:widowControl w:val="0"/>
      <w:autoSpaceDE w:val="0"/>
      <w:autoSpaceDN w:val="0"/>
    </w:pPr>
    <w:rPr>
      <w:lang w:val="en-US"/>
    </w:rPr>
    <w:tblPr>
      <w:tblCellMar>
        <w:top w:w="0.0" w:type="dxa"/>
        <w:left w:w="0.0" w:type="dxa"/>
        <w:bottom w:w="0.0" w:type="dxa"/>
        <w:right w:w="0.0" w:type="dxa"/>
      </w:tblCellMar>
    </w:tblPr>
  </w:style>
  <w:style w:type="paragraph" w:styleId="Asuntodelcomentario">
    <w:name w:val="annotation subject"/>
    <w:basedOn w:val="Textocomentario"/>
    <w:next w:val="Textocomentario"/>
    <w:link w:val="AsuntodelcomentarioCar"/>
    <w:semiHidden w:val="1"/>
    <w:unhideWhenUsed w:val="1"/>
    <w:rsid w:val="00B00371"/>
    <w:pPr>
      <w:widowControl w:val="1"/>
      <w:spacing w:after="160" w:line="240" w:lineRule="auto"/>
      <w:jc w:val="left"/>
    </w:pPr>
    <w:rPr>
      <w:rFonts w:asciiTheme="minorHAnsi" w:cstheme="minorBidi" w:eastAsiaTheme="minorHAnsi" w:hAnsiTheme="minorHAnsi"/>
      <w:bCs w:val="1"/>
      <w:noProof w:val="1"/>
      <w:lang w:eastAsia="en-US" w:val="es-CL"/>
    </w:rPr>
  </w:style>
  <w:style w:type="character" w:styleId="AsuntodelcomentarioCar" w:customStyle="1">
    <w:name w:val="Asunto del comentario Car"/>
    <w:basedOn w:val="TextocomentarioCar"/>
    <w:link w:val="Asuntodelcomentario"/>
    <w:semiHidden w:val="1"/>
    <w:rsid w:val="00B00371"/>
    <w:rPr>
      <w:rFonts w:ascii="Century Gothic" w:cs="Times New Roman" w:eastAsia="Times New Roman" w:hAnsi="Century Gothic"/>
      <w:b w:val="1"/>
      <w:bCs w:val="1"/>
      <w:noProof w:val="1"/>
      <w:sz w:val="20"/>
      <w:szCs w:val="20"/>
      <w:lang w:eastAsia="it-IT" w:val="x-none"/>
    </w:rPr>
  </w:style>
  <w:style w:type="paragraph" w:styleId="Descripcin">
    <w:name w:val="caption"/>
    <w:aliases w:val="Epígrafe,A Nota píe"/>
    <w:basedOn w:val="Normal"/>
    <w:next w:val="Normal"/>
    <w:link w:val="DescripcinCar"/>
    <w:unhideWhenUsed w:val="1"/>
    <w:qFormat w:val="1"/>
    <w:rsid w:val="00730616"/>
    <w:pPr>
      <w:spacing w:after="200"/>
    </w:pPr>
    <w:rPr>
      <w:i w:val="1"/>
      <w:iCs w:val="1"/>
      <w:color w:val="44546a" w:themeColor="text2"/>
      <w:sz w:val="18"/>
      <w:szCs w:val="18"/>
    </w:rPr>
  </w:style>
  <w:style w:type="paragraph" w:styleId="Subttulo">
    <w:name w:val="Subtitle"/>
    <w:basedOn w:val="Normal"/>
    <w:next w:val="Normal"/>
    <w:link w:val="SubttuloCar"/>
    <w:uiPriority w:val="11"/>
    <w:qFormat w:val="1"/>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10"/>
    <w:tblPr>
      <w:tblStyleRowBandSize w:val="1"/>
      <w:tblStyleColBandSize w:val="1"/>
    </w:tblPr>
  </w:style>
  <w:style w:type="table" w:styleId="2" w:customStyle="1">
    <w:name w:val="2"/>
    <w:basedOn w:val="TableNormal10"/>
    <w:tblPr>
      <w:tblStyleRowBandSize w:val="1"/>
      <w:tblStyleColBandSize w:val="1"/>
      <w:tblCellMar>
        <w:left w:w="115.0" w:type="dxa"/>
        <w:right w:w="115.0" w:type="dxa"/>
      </w:tblCellMar>
    </w:tblPr>
  </w:style>
  <w:style w:type="table" w:styleId="1" w:customStyle="1">
    <w:name w:val="1"/>
    <w:basedOn w:val="TableNormal10"/>
    <w:tblPr>
      <w:tblStyleRowBandSize w:val="1"/>
      <w:tblStyleColBandSize w:val="1"/>
      <w:tblCellMar>
        <w:left w:w="115.0" w:type="dxa"/>
        <w:right w:w="115.0" w:type="dxa"/>
      </w:tblCellMar>
    </w:tblPr>
  </w:style>
  <w:style w:type="character" w:styleId="TtuloCar" w:customStyle="1">
    <w:name w:val="Título Car"/>
    <w:aliases w:val="Fuente Car"/>
    <w:basedOn w:val="Fuentedeprrafopredeter"/>
    <w:link w:val="Ttulo"/>
    <w:uiPriority w:val="10"/>
    <w:rsid w:val="00CF6BC5"/>
    <w:rPr>
      <w:b w:val="1"/>
      <w:noProof w:val="1"/>
      <w:sz w:val="72"/>
      <w:szCs w:val="72"/>
    </w:rPr>
  </w:style>
  <w:style w:type="table" w:styleId="Tablaconcuadrcula1" w:customStyle="1">
    <w:name w:val="Tabla con cuadrícula1"/>
    <w:basedOn w:val="Tablanormal"/>
    <w:next w:val="Tablaconcuadrcula"/>
    <w:uiPriority w:val="39"/>
    <w:qFormat w:val="1"/>
    <w:rsid w:val="00CF6BC5"/>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DC21" w:customStyle="1">
    <w:name w:val="TDC 21"/>
    <w:basedOn w:val="Normal"/>
    <w:next w:val="Normal"/>
    <w:autoRedefine w:val="1"/>
    <w:uiPriority w:val="39"/>
    <w:unhideWhenUsed w:val="1"/>
    <w:rsid w:val="00CF6BC5"/>
    <w:pPr>
      <w:spacing w:after="100" w:before="120"/>
      <w:ind w:left="220"/>
      <w:jc w:val="both"/>
    </w:pPr>
    <w:rPr>
      <w:lang w:eastAsia="en-US" w:val="es-MX"/>
    </w:rPr>
  </w:style>
  <w:style w:type="paragraph" w:styleId="TDC11" w:customStyle="1">
    <w:name w:val="TDC 11"/>
    <w:basedOn w:val="Normal"/>
    <w:next w:val="Normal"/>
    <w:autoRedefine w:val="1"/>
    <w:uiPriority w:val="39"/>
    <w:unhideWhenUsed w:val="1"/>
    <w:rsid w:val="00CF6BC5"/>
    <w:pPr>
      <w:tabs>
        <w:tab w:val="left" w:pos="440"/>
        <w:tab w:val="right" w:leader="dot" w:pos="8828"/>
      </w:tabs>
      <w:spacing w:after="100" w:before="120"/>
    </w:pPr>
    <w:rPr>
      <w:color w:val="808080"/>
      <w:lang w:eastAsia="en-US"/>
    </w:rPr>
  </w:style>
  <w:style w:type="paragraph" w:styleId="TDC31" w:customStyle="1">
    <w:name w:val="TDC 31"/>
    <w:basedOn w:val="Normal"/>
    <w:next w:val="Normal"/>
    <w:autoRedefine w:val="1"/>
    <w:uiPriority w:val="39"/>
    <w:unhideWhenUsed w:val="1"/>
    <w:rsid w:val="00CF6BC5"/>
    <w:pPr>
      <w:spacing w:after="100" w:before="120"/>
      <w:ind w:left="440"/>
      <w:jc w:val="both"/>
    </w:pPr>
    <w:rPr>
      <w:lang w:eastAsia="en-US" w:val="es-MX"/>
    </w:rPr>
  </w:style>
  <w:style w:type="paragraph" w:styleId="TDC41" w:customStyle="1">
    <w:name w:val="TDC 41"/>
    <w:basedOn w:val="Normal"/>
    <w:next w:val="Normal"/>
    <w:autoRedefine w:val="1"/>
    <w:unhideWhenUsed w:val="1"/>
    <w:rsid w:val="00CF6BC5"/>
    <w:pPr>
      <w:spacing w:after="100" w:before="120"/>
      <w:ind w:left="660"/>
      <w:jc w:val="both"/>
    </w:pPr>
    <w:rPr>
      <w:lang w:eastAsia="en-US" w:val="es-MX"/>
    </w:rPr>
  </w:style>
  <w:style w:type="paragraph" w:styleId="Tabladeilustraciones1" w:customStyle="1">
    <w:name w:val="Tabla de ilustraciones1"/>
    <w:basedOn w:val="Normal"/>
    <w:next w:val="Normal"/>
    <w:uiPriority w:val="99"/>
    <w:unhideWhenUsed w:val="1"/>
    <w:rsid w:val="00CF6BC5"/>
    <w:pPr>
      <w:spacing w:after="180" w:before="120"/>
      <w:jc w:val="both"/>
    </w:pPr>
    <w:rPr>
      <w:lang w:eastAsia="en-US" w:val="es-MX"/>
    </w:rPr>
  </w:style>
  <w:style w:type="paragraph" w:styleId="Cita1" w:customStyle="1">
    <w:name w:val="Cita1"/>
    <w:basedOn w:val="Descripcin"/>
    <w:next w:val="Normal"/>
    <w:uiPriority w:val="29"/>
    <w:qFormat w:val="1"/>
    <w:rsid w:val="00CF6BC5"/>
    <w:pPr>
      <w:spacing w:after="240" w:before="240"/>
    </w:pPr>
    <w:rPr>
      <w:lang w:eastAsia="en-US" w:val="es-MX"/>
    </w:rPr>
  </w:style>
  <w:style w:type="character" w:styleId="CitaCar" w:customStyle="1">
    <w:name w:val="Cita Car"/>
    <w:basedOn w:val="Fuentedeprrafopredeter"/>
    <w:link w:val="Cita"/>
    <w:uiPriority w:val="29"/>
    <w:rsid w:val="00CF6BC5"/>
    <w:rPr>
      <w:rFonts w:ascii="Century Gothic" w:hAnsi="Century Gothic"/>
      <w:i w:val="1"/>
      <w:iCs w:val="1"/>
      <w:color w:val="44546a"/>
      <w:sz w:val="18"/>
      <w:szCs w:val="18"/>
      <w:lang w:val="es-MX"/>
    </w:rPr>
  </w:style>
  <w:style w:type="paragraph" w:styleId="Sinespaciado1" w:customStyle="1">
    <w:name w:val="Sin espaciado1"/>
    <w:next w:val="Sinespaciado"/>
    <w:link w:val="SinespaciadoCar"/>
    <w:uiPriority w:val="1"/>
    <w:qFormat w:val="1"/>
    <w:rsid w:val="00CF6BC5"/>
    <w:rPr>
      <w:lang w:eastAsia="zh-CN" w:val="en-US"/>
    </w:rPr>
  </w:style>
  <w:style w:type="character" w:styleId="SinespaciadoCar" w:customStyle="1">
    <w:name w:val="Sin espaciado Car"/>
    <w:basedOn w:val="Fuentedeprrafopredeter"/>
    <w:link w:val="Sinespaciado1"/>
    <w:uiPriority w:val="1"/>
    <w:rsid w:val="00CF6BC5"/>
    <w:rPr>
      <w:rFonts w:eastAsia="Times New Roman"/>
      <w:lang w:eastAsia="zh-CN" w:val="en-US"/>
    </w:rPr>
  </w:style>
  <w:style w:type="character" w:styleId="SubttuloCar" w:customStyle="1">
    <w:name w:val="Subtítulo Car"/>
    <w:basedOn w:val="Fuentedeprrafopredeter"/>
    <w:link w:val="Subttulo"/>
    <w:uiPriority w:val="11"/>
    <w:rsid w:val="00CF6BC5"/>
    <w:rPr>
      <w:rFonts w:ascii="Georgia" w:cs="Georgia" w:eastAsia="Georgia" w:hAnsi="Georgia"/>
      <w:i w:val="1"/>
      <w:noProof w:val="1"/>
      <w:color w:val="666666"/>
      <w:sz w:val="48"/>
      <w:szCs w:val="48"/>
    </w:rPr>
  </w:style>
  <w:style w:type="character" w:styleId="nfasissutil1" w:customStyle="1">
    <w:name w:val="Énfasis sutil1"/>
    <w:basedOn w:val="Fuentedeprrafopredeter"/>
    <w:uiPriority w:val="19"/>
    <w:rsid w:val="00CF6BC5"/>
    <w:rPr>
      <w:i w:val="1"/>
      <w:iCs w:val="1"/>
      <w:color w:val="404040"/>
    </w:rPr>
  </w:style>
  <w:style w:type="character" w:styleId="nfasis">
    <w:name w:val="Emphasis"/>
    <w:basedOn w:val="Fuentedeprrafopredeter"/>
    <w:uiPriority w:val="20"/>
    <w:rsid w:val="00CF6BC5"/>
    <w:rPr>
      <w:i w:val="1"/>
      <w:iCs w:val="1"/>
    </w:rPr>
  </w:style>
  <w:style w:type="character" w:styleId="Referenciasutil1" w:customStyle="1">
    <w:name w:val="Referencia sutil1"/>
    <w:basedOn w:val="Fuentedeprrafopredeter"/>
    <w:uiPriority w:val="31"/>
    <w:rsid w:val="00CF6BC5"/>
    <w:rPr>
      <w:smallCaps w:val="1"/>
      <w:color w:val="5a5a5a"/>
    </w:rPr>
  </w:style>
  <w:style w:type="paragraph" w:styleId="ESTILO2" w:customStyle="1">
    <w:name w:val="ESTILO2"/>
    <w:basedOn w:val="Ttulo2"/>
    <w:qFormat w:val="1"/>
    <w:rsid w:val="00CF6BC5"/>
    <w:pPr>
      <w:spacing w:after="120" w:before="120"/>
      <w:ind w:left="0"/>
      <w:jc w:val="left"/>
    </w:pPr>
    <w:rPr>
      <w:bCs w:val="0"/>
      <w:color w:val="808080"/>
      <w:lang w:eastAsia="en-US"/>
    </w:rPr>
  </w:style>
  <w:style w:type="paragraph" w:styleId="INDICE" w:customStyle="1">
    <w:name w:val="INDICE"/>
    <w:basedOn w:val="Normal"/>
    <w:qFormat w:val="1"/>
    <w:rsid w:val="00CF6BC5"/>
    <w:pPr>
      <w:spacing w:after="180" w:before="120"/>
    </w:pPr>
    <w:rPr>
      <w:color w:val="41c4b8"/>
      <w:lang w:eastAsia="en-US"/>
    </w:rPr>
  </w:style>
  <w:style w:type="paragraph" w:styleId="BAJADAA" w:customStyle="1">
    <w:name w:val="BAJADAA"/>
    <w:basedOn w:val="Ttulo2"/>
    <w:qFormat w:val="1"/>
    <w:rsid w:val="00CF6BC5"/>
    <w:pPr>
      <w:numPr>
        <w:numId w:val="3"/>
      </w:numPr>
      <w:tabs>
        <w:tab w:val="num" w:pos="926"/>
      </w:tabs>
      <w:spacing w:after="120" w:before="120"/>
      <w:ind w:left="926"/>
      <w:jc w:val="left"/>
    </w:pPr>
    <w:rPr>
      <w:rFonts w:cs="Times New Roman (Títulos en alf"/>
      <w:bCs w:val="0"/>
      <w:color w:val="7f7f7f"/>
      <w:lang w:eastAsia="en-US" w:val="es-MX"/>
    </w:rPr>
  </w:style>
  <w:style w:type="paragraph" w:styleId="TtuloTDC1" w:customStyle="1">
    <w:name w:val="Título TDC1"/>
    <w:basedOn w:val="Ttulo1"/>
    <w:next w:val="Normal"/>
    <w:uiPriority w:val="39"/>
    <w:unhideWhenUsed w:val="1"/>
    <w:qFormat w:val="1"/>
    <w:rsid w:val="00CF6BC5"/>
    <w:pPr>
      <w:spacing w:after="0" w:before="240" w:line="259" w:lineRule="auto"/>
      <w:jc w:val="left"/>
      <w:outlineLvl w:val="9"/>
    </w:pPr>
    <w:rPr>
      <w:rFonts w:ascii="Century Gothic" w:hAnsi="Century Gothic"/>
      <w:b w:val="0"/>
      <w:color w:val="2f5496"/>
      <w:kern w:val="0"/>
      <w:sz w:val="32"/>
      <w:szCs w:val="32"/>
      <w:lang w:eastAsia="es-CL" w:val="es-CL"/>
    </w:rPr>
  </w:style>
  <w:style w:type="paragraph" w:styleId="Textoindependiente2">
    <w:name w:val="Body Text 2"/>
    <w:basedOn w:val="Normal"/>
    <w:link w:val="Textoindependiente2Car"/>
    <w:rsid w:val="00CF6BC5"/>
    <w:pPr>
      <w:spacing w:after="120" w:before="120" w:line="480" w:lineRule="auto"/>
      <w:jc w:val="both"/>
    </w:pPr>
    <w:rPr>
      <w:rFonts w:cs="Arial"/>
      <w:lang w:eastAsia="es-ES" w:val="es-ES"/>
    </w:rPr>
  </w:style>
  <w:style w:type="character" w:styleId="Textoindependiente2Car" w:customStyle="1">
    <w:name w:val="Texto independiente 2 Car"/>
    <w:basedOn w:val="Fuentedeprrafopredeter"/>
    <w:link w:val="Textoindependiente2"/>
    <w:rsid w:val="00CF6BC5"/>
    <w:rPr>
      <w:rFonts w:ascii="Century Gothic" w:cs="Arial" w:eastAsia="Times New Roman" w:hAnsi="Century Gothic"/>
      <w:lang w:eastAsia="es-ES" w:val="es-ES"/>
    </w:rPr>
  </w:style>
  <w:style w:type="paragraph" w:styleId="BodyTextIndent21" w:customStyle="1">
    <w:name w:val="Body Text Indent 21"/>
    <w:basedOn w:val="Normal"/>
    <w:rsid w:val="00CF6BC5"/>
    <w:pPr>
      <w:widowControl w:val="0"/>
      <w:tabs>
        <w:tab w:val="left" w:pos="567"/>
      </w:tabs>
      <w:spacing w:after="180" w:before="120"/>
      <w:ind w:left="709"/>
      <w:jc w:val="both"/>
    </w:pPr>
    <w:rPr>
      <w:rFonts w:ascii="Arial" w:cs="Arial" w:hAnsi="Arial"/>
      <w:szCs w:val="20"/>
      <w:lang w:eastAsia="es-ES" w:val="es-ES"/>
    </w:rPr>
  </w:style>
  <w:style w:type="paragraph" w:styleId="NormalWeb">
    <w:name w:val="Normal (Web)"/>
    <w:basedOn w:val="Normal"/>
    <w:uiPriority w:val="99"/>
    <w:qFormat w:val="1"/>
    <w:rsid w:val="00CF6BC5"/>
    <w:pPr>
      <w:spacing w:after="100" w:afterAutospacing="1" w:before="100" w:beforeAutospacing="1"/>
      <w:jc w:val="both"/>
    </w:pPr>
    <w:rPr>
      <w:rFonts w:cs="Arial"/>
      <w:color w:val="000000"/>
      <w:lang w:eastAsia="es-ES" w:val="es-ES"/>
    </w:rPr>
  </w:style>
  <w:style w:type="character" w:styleId="Textoennegrita">
    <w:name w:val="Strong"/>
    <w:basedOn w:val="Fuentedeprrafopredeter"/>
    <w:rsid w:val="00CF6BC5"/>
    <w:rPr>
      <w:b w:val="1"/>
      <w:bCs w:val="1"/>
    </w:rPr>
  </w:style>
  <w:style w:type="paragraph" w:styleId="Textoindependiente21" w:customStyle="1">
    <w:name w:val="Texto independiente 21"/>
    <w:basedOn w:val="Normal"/>
    <w:rsid w:val="00CF6BC5"/>
    <w:pPr>
      <w:widowControl w:val="0"/>
      <w:tabs>
        <w:tab w:val="left" w:pos="360"/>
      </w:tabs>
      <w:spacing w:after="180" w:before="120"/>
      <w:jc w:val="both"/>
    </w:pPr>
    <w:rPr>
      <w:rFonts w:ascii="DIN-Regular" w:cs="Arial" w:hAnsi="DIN-Regular"/>
      <w:szCs w:val="20"/>
      <w:lang w:eastAsia="es-ES"/>
    </w:rPr>
  </w:style>
  <w:style w:type="paragraph" w:styleId="Estilo3" w:customStyle="1">
    <w:name w:val="Estilo3"/>
    <w:basedOn w:val="Descripcin"/>
    <w:rsid w:val="00CF6BC5"/>
    <w:pPr>
      <w:spacing w:after="0"/>
      <w:jc w:val="center"/>
    </w:pPr>
    <w:rPr>
      <w:rFonts w:cs="Arial"/>
      <w:i w:val="0"/>
      <w:iCs w:val="0"/>
      <w:color w:val="auto"/>
      <w:sz w:val="20"/>
      <w:szCs w:val="20"/>
      <w:lang w:eastAsia="es-ES" w:val="es-ES"/>
    </w:rPr>
  </w:style>
  <w:style w:type="character" w:styleId="Nmerodepgina">
    <w:name w:val="page number"/>
    <w:basedOn w:val="Fuentedeprrafopredeter"/>
    <w:rsid w:val="00CF6BC5"/>
  </w:style>
  <w:style w:type="paragraph" w:styleId="TDC51" w:customStyle="1">
    <w:name w:val="TDC 51"/>
    <w:basedOn w:val="Normal"/>
    <w:next w:val="Normal"/>
    <w:autoRedefine w:val="1"/>
    <w:semiHidden w:val="1"/>
    <w:rsid w:val="00CF6BC5"/>
    <w:pPr>
      <w:spacing w:after="180" w:before="120"/>
      <w:ind w:left="660"/>
    </w:pPr>
    <w:rPr>
      <w:sz w:val="20"/>
      <w:szCs w:val="20"/>
      <w:lang w:eastAsia="es-ES" w:val="es-ES"/>
    </w:rPr>
  </w:style>
  <w:style w:type="paragraph" w:styleId="TDC61" w:customStyle="1">
    <w:name w:val="TDC 61"/>
    <w:basedOn w:val="Normal"/>
    <w:next w:val="Normal"/>
    <w:autoRedefine w:val="1"/>
    <w:semiHidden w:val="1"/>
    <w:rsid w:val="00CF6BC5"/>
    <w:pPr>
      <w:spacing w:after="180" w:before="120"/>
      <w:ind w:left="880"/>
    </w:pPr>
    <w:rPr>
      <w:sz w:val="20"/>
      <w:szCs w:val="20"/>
      <w:lang w:eastAsia="es-ES" w:val="es-ES"/>
    </w:rPr>
  </w:style>
  <w:style w:type="paragraph" w:styleId="TDC71" w:customStyle="1">
    <w:name w:val="TDC 71"/>
    <w:basedOn w:val="Normal"/>
    <w:next w:val="Normal"/>
    <w:autoRedefine w:val="1"/>
    <w:semiHidden w:val="1"/>
    <w:rsid w:val="00CF6BC5"/>
    <w:pPr>
      <w:spacing w:after="180" w:before="120"/>
      <w:ind w:left="1100"/>
    </w:pPr>
    <w:rPr>
      <w:sz w:val="20"/>
      <w:szCs w:val="20"/>
      <w:lang w:eastAsia="es-ES" w:val="es-ES"/>
    </w:rPr>
  </w:style>
  <w:style w:type="paragraph" w:styleId="TDC81" w:customStyle="1">
    <w:name w:val="TDC 81"/>
    <w:basedOn w:val="Normal"/>
    <w:next w:val="Normal"/>
    <w:autoRedefine w:val="1"/>
    <w:semiHidden w:val="1"/>
    <w:rsid w:val="00CF6BC5"/>
    <w:pPr>
      <w:spacing w:after="180" w:before="120"/>
      <w:ind w:left="1320"/>
    </w:pPr>
    <w:rPr>
      <w:sz w:val="20"/>
      <w:szCs w:val="20"/>
      <w:lang w:eastAsia="es-ES" w:val="es-ES"/>
    </w:rPr>
  </w:style>
  <w:style w:type="paragraph" w:styleId="TDC91" w:customStyle="1">
    <w:name w:val="TDC 91"/>
    <w:basedOn w:val="Normal"/>
    <w:next w:val="Normal"/>
    <w:autoRedefine w:val="1"/>
    <w:semiHidden w:val="1"/>
    <w:rsid w:val="00CF6BC5"/>
    <w:pPr>
      <w:spacing w:after="180" w:before="120"/>
      <w:ind w:left="1540"/>
    </w:pPr>
    <w:rPr>
      <w:sz w:val="20"/>
      <w:szCs w:val="20"/>
      <w:lang w:eastAsia="es-ES" w:val="es-ES"/>
    </w:rPr>
  </w:style>
  <w:style w:type="character" w:styleId="Hipervnculovisitado">
    <w:name w:val="FollowedHyperlink"/>
    <w:basedOn w:val="Fuentedeprrafopredeter"/>
    <w:rsid w:val="00CF6BC5"/>
    <w:rPr>
      <w:color w:val="800080"/>
      <w:u w:val="single"/>
    </w:rPr>
  </w:style>
  <w:style w:type="paragraph" w:styleId="Sangradetextonormal">
    <w:name w:val="Body Text Indent"/>
    <w:basedOn w:val="Normal"/>
    <w:link w:val="SangradetextonormalCar"/>
    <w:rsid w:val="00CF6BC5"/>
    <w:pPr>
      <w:spacing w:after="120" w:before="120"/>
      <w:ind w:left="283"/>
      <w:jc w:val="both"/>
    </w:pPr>
    <w:rPr>
      <w:rFonts w:cs="Arial"/>
      <w:lang w:eastAsia="es-ES" w:val="es-ES"/>
    </w:rPr>
  </w:style>
  <w:style w:type="character" w:styleId="SangradetextonormalCar" w:customStyle="1">
    <w:name w:val="Sangría de texto normal Car"/>
    <w:basedOn w:val="Fuentedeprrafopredeter"/>
    <w:link w:val="Sangradetextonormal"/>
    <w:rsid w:val="00CF6BC5"/>
    <w:rPr>
      <w:rFonts w:ascii="Century Gothic" w:cs="Arial" w:eastAsia="Times New Roman" w:hAnsi="Century Gothic"/>
      <w:lang w:eastAsia="es-ES" w:val="es-ES"/>
    </w:rPr>
  </w:style>
  <w:style w:type="paragraph" w:styleId="texto" w:customStyle="1">
    <w:name w:val="texto"/>
    <w:basedOn w:val="Normal"/>
    <w:rsid w:val="00CF6BC5"/>
    <w:pPr>
      <w:spacing w:after="100" w:afterAutospacing="1" w:before="100" w:beforeAutospacing="1"/>
      <w:jc w:val="both"/>
    </w:pPr>
    <w:rPr>
      <w:rFonts w:cs="Arial"/>
      <w:lang w:eastAsia="es-ES" w:val="es-ES"/>
    </w:rPr>
  </w:style>
  <w:style w:type="paragraph" w:styleId="CM19" w:customStyle="1">
    <w:name w:val="CM19"/>
    <w:basedOn w:val="Normal"/>
    <w:next w:val="Normal"/>
    <w:rsid w:val="00CF6BC5"/>
    <w:pPr>
      <w:widowControl w:val="0"/>
      <w:autoSpaceDE w:val="0"/>
      <w:autoSpaceDN w:val="0"/>
      <w:adjustRightInd w:val="0"/>
      <w:spacing w:after="253" w:before="120"/>
      <w:jc w:val="both"/>
    </w:pPr>
    <w:rPr>
      <w:rFonts w:ascii="Arial" w:cs="Arial" w:hAnsi="Arial"/>
    </w:rPr>
  </w:style>
  <w:style w:type="paragraph" w:styleId="CM21" w:customStyle="1">
    <w:name w:val="CM21"/>
    <w:basedOn w:val="Normal"/>
    <w:next w:val="Normal"/>
    <w:rsid w:val="00CF6BC5"/>
    <w:pPr>
      <w:widowControl w:val="0"/>
      <w:autoSpaceDE w:val="0"/>
      <w:autoSpaceDN w:val="0"/>
      <w:adjustRightInd w:val="0"/>
      <w:spacing w:after="113" w:before="120"/>
      <w:jc w:val="both"/>
    </w:pPr>
    <w:rPr>
      <w:rFonts w:ascii="Arial" w:cs="Arial" w:hAnsi="Arial"/>
    </w:rPr>
  </w:style>
  <w:style w:type="paragraph" w:styleId="CM22" w:customStyle="1">
    <w:name w:val="CM22"/>
    <w:basedOn w:val="Normal"/>
    <w:next w:val="Normal"/>
    <w:rsid w:val="00CF6BC5"/>
    <w:pPr>
      <w:widowControl w:val="0"/>
      <w:autoSpaceDE w:val="0"/>
      <w:autoSpaceDN w:val="0"/>
      <w:adjustRightInd w:val="0"/>
      <w:spacing w:after="490" w:before="120"/>
      <w:jc w:val="both"/>
    </w:pPr>
    <w:rPr>
      <w:rFonts w:ascii="Arial" w:cs="Arial" w:hAnsi="Arial"/>
    </w:rPr>
  </w:style>
  <w:style w:type="paragraph" w:styleId="CM6" w:customStyle="1">
    <w:name w:val="CM6"/>
    <w:basedOn w:val="Normal"/>
    <w:next w:val="Normal"/>
    <w:rsid w:val="00CF6BC5"/>
    <w:pPr>
      <w:widowControl w:val="0"/>
      <w:autoSpaceDE w:val="0"/>
      <w:autoSpaceDN w:val="0"/>
      <w:adjustRightInd w:val="0"/>
      <w:spacing w:after="180" w:before="120" w:line="253" w:lineRule="atLeast"/>
      <w:jc w:val="both"/>
    </w:pPr>
    <w:rPr>
      <w:rFonts w:ascii="Arial" w:cs="Arial" w:hAnsi="Arial"/>
    </w:rPr>
  </w:style>
  <w:style w:type="paragraph" w:styleId="CM20" w:customStyle="1">
    <w:name w:val="CM20"/>
    <w:basedOn w:val="Default"/>
    <w:next w:val="Default"/>
    <w:rsid w:val="00CF6BC5"/>
    <w:pPr>
      <w:widowControl w:val="0"/>
      <w:spacing w:after="745"/>
    </w:pPr>
    <w:rPr>
      <w:rFonts w:ascii="Arial" w:cs="Times New Roman" w:hAnsi="Arial"/>
      <w:color w:val="auto"/>
    </w:rPr>
  </w:style>
  <w:style w:type="paragraph" w:styleId="CM27" w:customStyle="1">
    <w:name w:val="CM27"/>
    <w:basedOn w:val="Default"/>
    <w:next w:val="Default"/>
    <w:rsid w:val="00CF6BC5"/>
    <w:pPr>
      <w:widowControl w:val="0"/>
      <w:spacing w:after="790"/>
    </w:pPr>
    <w:rPr>
      <w:rFonts w:ascii="Arial" w:cs="Times New Roman" w:hAnsi="Arial"/>
      <w:color w:val="auto"/>
    </w:rPr>
  </w:style>
  <w:style w:type="paragraph" w:styleId="Textoindependiente3">
    <w:name w:val="Body Text 3"/>
    <w:basedOn w:val="Normal"/>
    <w:link w:val="Textoindependiente3Car"/>
    <w:rsid w:val="00CF6BC5"/>
    <w:pPr>
      <w:spacing w:after="120" w:before="120"/>
      <w:jc w:val="both"/>
    </w:pPr>
    <w:rPr>
      <w:rFonts w:cs="Arial"/>
      <w:sz w:val="16"/>
      <w:szCs w:val="16"/>
      <w:lang w:eastAsia="es-ES" w:val="es-ES"/>
    </w:rPr>
  </w:style>
  <w:style w:type="character" w:styleId="Textoindependiente3Car" w:customStyle="1">
    <w:name w:val="Texto independiente 3 Car"/>
    <w:basedOn w:val="Fuentedeprrafopredeter"/>
    <w:link w:val="Textoindependiente3"/>
    <w:rsid w:val="00CF6BC5"/>
    <w:rPr>
      <w:rFonts w:ascii="Century Gothic" w:cs="Arial" w:eastAsia="Times New Roman" w:hAnsi="Century Gothic"/>
      <w:sz w:val="16"/>
      <w:szCs w:val="16"/>
      <w:lang w:eastAsia="es-ES" w:val="es-ES"/>
    </w:rPr>
  </w:style>
  <w:style w:type="paragraph" w:styleId="BodyText21" w:customStyle="1">
    <w:name w:val="Body Text 21"/>
    <w:basedOn w:val="Normal"/>
    <w:rsid w:val="00CF6BC5"/>
    <w:pPr>
      <w:widowControl w:val="0"/>
      <w:autoSpaceDE w:val="0"/>
      <w:autoSpaceDN w:val="0"/>
      <w:spacing w:after="180" w:before="120"/>
      <w:jc w:val="both"/>
    </w:pPr>
    <w:rPr>
      <w:rFonts w:cs="Arial"/>
      <w:szCs w:val="20"/>
    </w:rPr>
  </w:style>
  <w:style w:type="paragraph" w:styleId="BodyText22" w:customStyle="1">
    <w:name w:val="Body Text 22"/>
    <w:basedOn w:val="Normal"/>
    <w:rsid w:val="00CF6BC5"/>
    <w:pPr>
      <w:widowControl w:val="0"/>
      <w:suppressAutoHyphens w:val="1"/>
      <w:spacing w:after="180" w:before="120"/>
      <w:jc w:val="both"/>
    </w:pPr>
    <w:rPr>
      <w:rFonts w:cs="Arial"/>
      <w:szCs w:val="20"/>
    </w:rPr>
  </w:style>
  <w:style w:type="paragraph" w:styleId="Textonotaalfinal">
    <w:name w:val="endnote text"/>
    <w:basedOn w:val="Normal"/>
    <w:link w:val="TextonotaalfinalCar"/>
    <w:rsid w:val="00CF6BC5"/>
    <w:pPr>
      <w:spacing w:after="180" w:before="120"/>
      <w:jc w:val="both"/>
    </w:pPr>
    <w:rPr>
      <w:rFonts w:cs="Arial"/>
      <w:sz w:val="20"/>
      <w:szCs w:val="20"/>
      <w:lang w:eastAsia="es-ES" w:val="es-ES"/>
    </w:rPr>
  </w:style>
  <w:style w:type="character" w:styleId="TextonotaalfinalCar" w:customStyle="1">
    <w:name w:val="Texto nota al final Car"/>
    <w:basedOn w:val="Fuentedeprrafopredeter"/>
    <w:link w:val="Textonotaalfinal"/>
    <w:rsid w:val="00CF6BC5"/>
    <w:rPr>
      <w:rFonts w:ascii="Century Gothic" w:cs="Arial" w:eastAsia="Times New Roman" w:hAnsi="Century Gothic"/>
      <w:sz w:val="20"/>
      <w:szCs w:val="20"/>
      <w:lang w:eastAsia="es-ES" w:val="es-ES"/>
    </w:rPr>
  </w:style>
  <w:style w:type="character" w:styleId="Refdenotaalfinal">
    <w:name w:val="endnote reference"/>
    <w:basedOn w:val="Fuentedeprrafopredeter"/>
    <w:rsid w:val="00CF6BC5"/>
    <w:rPr>
      <w:vertAlign w:val="superscript"/>
    </w:rPr>
  </w:style>
  <w:style w:type="table" w:styleId="Tablaconcuadrculaclara1" w:customStyle="1">
    <w:name w:val="Tabla con cuadrícula clara1"/>
    <w:basedOn w:val="Tablanormal"/>
    <w:next w:val="Tablaconcuadrculaclara"/>
    <w:uiPriority w:val="40"/>
    <w:rsid w:val="00CF6BC5"/>
    <w:rPr>
      <w:sz w:val="20"/>
      <w:szCs w:val="20"/>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paragraph" w:styleId="Revisin">
    <w:name w:val="Revision"/>
    <w:hidden w:val="1"/>
    <w:uiPriority w:val="99"/>
    <w:semiHidden w:val="1"/>
    <w:rsid w:val="00CF6BC5"/>
    <w:rPr>
      <w:rFonts w:cs="Arial"/>
      <w:lang w:eastAsia="es-ES" w:val="es-ES"/>
    </w:rPr>
  </w:style>
  <w:style w:type="paragraph" w:styleId="EstiloPrrafodelistaInterlineadoMltiple115ln" w:customStyle="1">
    <w:name w:val="Estilo Párrafo de lista + Interlineado:  Múltiple 115 lín."/>
    <w:basedOn w:val="Prrafodelista"/>
    <w:rsid w:val="00CF6BC5"/>
    <w:pPr>
      <w:widowControl w:val="1"/>
      <w:numPr>
        <w:numId w:val="4"/>
      </w:numPr>
      <w:spacing w:after="180" w:before="120"/>
      <w:contextualSpacing w:val="1"/>
    </w:pPr>
    <w:rPr>
      <w:bCs w:val="1"/>
      <w:szCs w:val="20"/>
      <w:lang w:eastAsia="es-ES" w:val="es-ES"/>
    </w:rPr>
  </w:style>
  <w:style w:type="paragraph" w:styleId="Alistado" w:customStyle="1">
    <w:name w:val="A listado"/>
    <w:basedOn w:val="Prrafodelista"/>
    <w:link w:val="AlistadoCar"/>
    <w:qFormat w:val="1"/>
    <w:rsid w:val="00CF6BC5"/>
    <w:pPr>
      <w:widowControl w:val="1"/>
      <w:tabs>
        <w:tab w:val="num" w:pos="720"/>
      </w:tabs>
      <w:spacing w:after="120" w:before="120"/>
      <w:ind w:left="681" w:hanging="284"/>
      <w:contextualSpacing w:val="1"/>
    </w:pPr>
    <w:rPr>
      <w:rFonts w:cs="Arial"/>
      <w:bCs w:val="1"/>
      <w:lang w:eastAsia="es-ES"/>
    </w:rPr>
  </w:style>
  <w:style w:type="character" w:styleId="AlistadoCar" w:customStyle="1">
    <w:name w:val="A listado Car"/>
    <w:basedOn w:val="PrrafodelistaCar"/>
    <w:link w:val="Alistado"/>
    <w:rsid w:val="00CF6BC5"/>
    <w:rPr>
      <w:rFonts w:ascii="Century Gothic" w:cs="Arial" w:eastAsia="Times New Roman" w:hAnsi="Century Gothic"/>
      <w:b w:val="1"/>
      <w:bCs w:val="1"/>
      <w:lang w:eastAsia="es-ES"/>
    </w:rPr>
  </w:style>
  <w:style w:type="paragraph" w:styleId="ATtuloTyF" w:customStyle="1">
    <w:name w:val="A Título TyF"/>
    <w:basedOn w:val="Descripcin"/>
    <w:link w:val="ATtuloTyFCar"/>
    <w:qFormat w:val="1"/>
    <w:rsid w:val="00CF6BC5"/>
    <w:pPr>
      <w:keepNext w:val="1"/>
      <w:spacing w:after="60" w:before="60"/>
      <w:jc w:val="center"/>
    </w:pPr>
    <w:rPr>
      <w:rFonts w:cs="Arial"/>
      <w:i w:val="0"/>
      <w:iCs w:val="0"/>
      <w:color w:val="auto"/>
      <w:szCs w:val="20"/>
      <w:lang w:eastAsia="es-ES" w:val="es-ES"/>
    </w:rPr>
  </w:style>
  <w:style w:type="paragraph" w:styleId="AFuente" w:customStyle="1">
    <w:name w:val="A Fuente"/>
    <w:basedOn w:val="Normal"/>
    <w:link w:val="AFuenteCar"/>
    <w:qFormat w:val="1"/>
    <w:rsid w:val="00CF6BC5"/>
    <w:pPr>
      <w:spacing w:after="180" w:before="120" w:line="23" w:lineRule="atLeast"/>
      <w:jc w:val="center"/>
    </w:pPr>
    <w:rPr>
      <w:rFonts w:cs="Arial"/>
      <w:sz w:val="20"/>
      <w:lang w:eastAsia="es-ES" w:val="es-ES"/>
    </w:rPr>
  </w:style>
  <w:style w:type="character" w:styleId="ATtuloTyFCar" w:customStyle="1">
    <w:name w:val="A Título TyF Car"/>
    <w:basedOn w:val="Fuentedeprrafopredeter"/>
    <w:link w:val="ATtuloTyF"/>
    <w:rsid w:val="00CF6BC5"/>
    <w:rPr>
      <w:rFonts w:ascii="Century Gothic" w:cs="Arial" w:eastAsia="Times New Roman" w:hAnsi="Century Gothic"/>
      <w:sz w:val="18"/>
      <w:szCs w:val="20"/>
      <w:lang w:eastAsia="es-ES" w:val="es-ES"/>
    </w:rPr>
  </w:style>
  <w:style w:type="paragraph" w:styleId="ATabla" w:customStyle="1">
    <w:name w:val="A Tabla"/>
    <w:basedOn w:val="Normal"/>
    <w:link w:val="ATablaCar"/>
    <w:qFormat w:val="1"/>
    <w:rsid w:val="00CF6BC5"/>
    <w:pPr>
      <w:spacing w:after="60" w:before="60"/>
      <w:jc w:val="center"/>
    </w:pPr>
    <w:rPr>
      <w:rFonts w:cs="Arial"/>
      <w:color w:val="000000"/>
      <w:kern w:val="24"/>
      <w:sz w:val="20"/>
      <w:lang w:val="es-ES"/>
    </w:rPr>
  </w:style>
  <w:style w:type="character" w:styleId="AFuenteCar" w:customStyle="1">
    <w:name w:val="A Fuente Car"/>
    <w:basedOn w:val="Fuentedeprrafopredeter"/>
    <w:link w:val="AFuente"/>
    <w:rsid w:val="00CF6BC5"/>
    <w:rPr>
      <w:rFonts w:ascii="Century Gothic" w:cs="Arial" w:eastAsia="Times New Roman" w:hAnsi="Century Gothic"/>
      <w:b w:val="1"/>
      <w:sz w:val="20"/>
      <w:lang w:eastAsia="es-ES" w:val="es-ES"/>
    </w:rPr>
  </w:style>
  <w:style w:type="character" w:styleId="ATablaCar" w:customStyle="1">
    <w:name w:val="A Tabla Car"/>
    <w:basedOn w:val="Fuentedeprrafopredeter"/>
    <w:link w:val="ATabla"/>
    <w:rsid w:val="00CF6BC5"/>
    <w:rPr>
      <w:rFonts w:ascii="Century Gothic" w:cs="Arial" w:eastAsia="Times New Roman" w:hAnsi="Century Gothic"/>
      <w:color w:val="000000"/>
      <w:kern w:val="24"/>
      <w:sz w:val="20"/>
      <w:lang w:val="es-ES"/>
    </w:rPr>
  </w:style>
  <w:style w:type="character" w:styleId="Estilo1Car" w:customStyle="1">
    <w:name w:val="Estilo1 Car"/>
    <w:basedOn w:val="EncabezadoCar"/>
    <w:rsid w:val="00CF6BC5"/>
    <w:rPr>
      <w:rFonts w:ascii="Century Gothic" w:cs="Arial" w:hAnsi="Century Gothic"/>
      <w:noProof w:val="1"/>
      <w:sz w:val="22"/>
      <w:lang w:eastAsia="es-CL" w:val="es-MX"/>
    </w:rPr>
  </w:style>
  <w:style w:type="character" w:styleId="DescripcinCar" w:customStyle="1">
    <w:name w:val="Descripción Car"/>
    <w:aliases w:val="Epígrafe Car,A Nota píe Car"/>
    <w:basedOn w:val="Fuentedeprrafopredeter"/>
    <w:link w:val="Descripcin"/>
    <w:uiPriority w:val="35"/>
    <w:qFormat w:val="1"/>
    <w:rsid w:val="00CF6BC5"/>
    <w:rPr>
      <w:i w:val="1"/>
      <w:iCs w:val="1"/>
      <w:noProof w:val="1"/>
      <w:color w:val="44546a" w:themeColor="text2"/>
      <w:sz w:val="18"/>
      <w:szCs w:val="18"/>
    </w:rPr>
  </w:style>
  <w:style w:type="paragraph" w:styleId="ANotapie" w:customStyle="1">
    <w:name w:val="A Nota pie"/>
    <w:basedOn w:val="Normal"/>
    <w:link w:val="ANotapieCar"/>
    <w:qFormat w:val="1"/>
    <w:rsid w:val="00CF6BC5"/>
    <w:pPr>
      <w:spacing w:after="60" w:before="60"/>
      <w:jc w:val="both"/>
    </w:pPr>
    <w:rPr>
      <w:rFonts w:cs="Arial"/>
      <w:sz w:val="16"/>
      <w:lang w:eastAsia="es-ES"/>
    </w:rPr>
  </w:style>
  <w:style w:type="paragraph" w:styleId="ACita" w:customStyle="1">
    <w:name w:val="A Cita"/>
    <w:basedOn w:val="Normal"/>
    <w:link w:val="ACitaCar"/>
    <w:qFormat w:val="1"/>
    <w:rsid w:val="00CF6BC5"/>
    <w:pPr>
      <w:spacing w:after="180" w:before="120"/>
      <w:ind w:left="851" w:right="851"/>
      <w:jc w:val="both"/>
    </w:pPr>
    <w:rPr>
      <w:rFonts w:cs="Verdana"/>
      <w:i w:val="1"/>
      <w:sz w:val="20"/>
      <w:lang w:eastAsia="es-ES"/>
    </w:rPr>
  </w:style>
  <w:style w:type="character" w:styleId="ANotapieCar" w:customStyle="1">
    <w:name w:val="A Nota pie Car"/>
    <w:basedOn w:val="Fuentedeprrafopredeter"/>
    <w:link w:val="ANotapie"/>
    <w:rsid w:val="00CF6BC5"/>
    <w:rPr>
      <w:rFonts w:ascii="Century Gothic" w:cs="Arial" w:eastAsia="Times New Roman" w:hAnsi="Century Gothic"/>
      <w:sz w:val="16"/>
      <w:lang w:eastAsia="es-ES"/>
    </w:rPr>
  </w:style>
  <w:style w:type="character" w:styleId="ACitaCar" w:customStyle="1">
    <w:name w:val="A Cita Car"/>
    <w:basedOn w:val="Fuentedeprrafopredeter"/>
    <w:link w:val="ACita"/>
    <w:rsid w:val="00CF6BC5"/>
    <w:rPr>
      <w:rFonts w:ascii="Century Gothic" w:cs="Verdana" w:eastAsia="Times New Roman" w:hAnsi="Century Gothic"/>
      <w:i w:val="1"/>
      <w:sz w:val="20"/>
      <w:lang w:eastAsia="es-ES"/>
    </w:rPr>
  </w:style>
  <w:style w:type="paragraph" w:styleId="ACitav2" w:customStyle="1">
    <w:name w:val="A Cita v.2"/>
    <w:basedOn w:val="Normal"/>
    <w:link w:val="ACitav2Car"/>
    <w:qFormat w:val="1"/>
    <w:rsid w:val="00CF6BC5"/>
    <w:pPr>
      <w:spacing w:after="120" w:before="120"/>
      <w:ind w:left="851" w:right="851"/>
      <w:jc w:val="both"/>
    </w:pPr>
    <w:rPr>
      <w:rFonts w:cs="Arial"/>
      <w:i w:val="1"/>
      <w:sz w:val="20"/>
      <w:lang w:eastAsia="es-ES" w:val="es-ES"/>
    </w:rPr>
  </w:style>
  <w:style w:type="character" w:styleId="ACitav2Car" w:customStyle="1">
    <w:name w:val="A Cita v.2 Car"/>
    <w:basedOn w:val="Fuentedeprrafopredeter"/>
    <w:link w:val="ACitav2"/>
    <w:rsid w:val="00CF6BC5"/>
    <w:rPr>
      <w:rFonts w:ascii="Century Gothic" w:cs="Arial" w:eastAsia="Times New Roman" w:hAnsi="Century Gothic"/>
      <w:i w:val="1"/>
      <w:sz w:val="20"/>
      <w:lang w:eastAsia="es-ES" w:val="es-ES"/>
    </w:rPr>
  </w:style>
  <w:style w:type="table" w:styleId="Tablaconcuadrcula2" w:customStyle="1">
    <w:name w:val="Tabla con cuadrícula2"/>
    <w:basedOn w:val="Tablanormal"/>
    <w:next w:val="Tablaconcuadrcula"/>
    <w:uiPriority w:val="59"/>
    <w:qFormat w:val="1"/>
    <w:rsid w:val="00CF6BC5"/>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 w:customStyle="1">
    <w:name w:val="Tabla con cuadrícula11"/>
    <w:basedOn w:val="Tablanormal"/>
    <w:next w:val="Tablaconcuadrcula"/>
    <w:uiPriority w:val="39"/>
    <w:qFormat w:val="1"/>
    <w:rsid w:val="00CF6BC5"/>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ita">
    <w:name w:val="Quote"/>
    <w:basedOn w:val="Normal"/>
    <w:next w:val="Normal"/>
    <w:link w:val="CitaCar"/>
    <w:uiPriority w:val="29"/>
    <w:qFormat w:val="1"/>
    <w:rsid w:val="00CF6BC5"/>
    <w:pPr>
      <w:spacing w:before="200"/>
      <w:ind w:left="864" w:right="864"/>
      <w:jc w:val="center"/>
    </w:pPr>
    <w:rPr>
      <w:i w:val="1"/>
      <w:iCs w:val="1"/>
      <w:color w:val="44546a"/>
      <w:sz w:val="18"/>
      <w:szCs w:val="18"/>
      <w:lang w:val="es-MX"/>
    </w:rPr>
  </w:style>
  <w:style w:type="character" w:styleId="CitaCar1" w:customStyle="1">
    <w:name w:val="Cita Car1"/>
    <w:basedOn w:val="Fuentedeprrafopredeter"/>
    <w:uiPriority w:val="29"/>
    <w:rsid w:val="00CF6BC5"/>
    <w:rPr>
      <w:i w:val="1"/>
      <w:iCs w:val="1"/>
      <w:noProof w:val="1"/>
      <w:color w:val="404040" w:themeColor="text1" w:themeTint="0000BF"/>
    </w:rPr>
  </w:style>
  <w:style w:type="paragraph" w:styleId="Sinespaciado">
    <w:name w:val="No Spacing"/>
    <w:uiPriority w:val="1"/>
    <w:qFormat w:val="1"/>
    <w:rsid w:val="00CF6BC5"/>
    <w:rPr>
      <w:noProof w:val="1"/>
    </w:rPr>
  </w:style>
  <w:style w:type="character" w:styleId="nfasissutil">
    <w:name w:val="Subtle Emphasis"/>
    <w:basedOn w:val="Fuentedeprrafopredeter"/>
    <w:uiPriority w:val="19"/>
    <w:qFormat w:val="1"/>
    <w:rsid w:val="00CF6BC5"/>
    <w:rPr>
      <w:i w:val="1"/>
      <w:iCs w:val="1"/>
      <w:color w:val="404040" w:themeColor="text1" w:themeTint="0000BF"/>
    </w:rPr>
  </w:style>
  <w:style w:type="character" w:styleId="Referenciasutil">
    <w:name w:val="Subtle Reference"/>
    <w:basedOn w:val="Fuentedeprrafopredeter"/>
    <w:uiPriority w:val="31"/>
    <w:qFormat w:val="1"/>
    <w:rsid w:val="00CF6BC5"/>
    <w:rPr>
      <w:smallCaps w:val="1"/>
      <w:color w:val="5a5a5a" w:themeColor="text1" w:themeTint="0000A5"/>
    </w:rPr>
  </w:style>
  <w:style w:type="table" w:styleId="Tablaconcuadrculaclara">
    <w:name w:val="Grid Table Light"/>
    <w:basedOn w:val="Tablanormal"/>
    <w:uiPriority w:val="40"/>
    <w:rsid w:val="00CF6BC5"/>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TDC1">
    <w:name w:val="toc 1"/>
    <w:basedOn w:val="Normal"/>
    <w:next w:val="Normal"/>
    <w:autoRedefine w:val="1"/>
    <w:uiPriority w:val="39"/>
    <w:unhideWhenUsed w:val="1"/>
    <w:rsid w:val="00F64A70"/>
    <w:pPr>
      <w:spacing w:after="100"/>
    </w:pPr>
  </w:style>
  <w:style w:type="paragraph" w:styleId="TDC2">
    <w:name w:val="toc 2"/>
    <w:basedOn w:val="Normal"/>
    <w:next w:val="Normal"/>
    <w:autoRedefine w:val="1"/>
    <w:uiPriority w:val="39"/>
    <w:unhideWhenUsed w:val="1"/>
    <w:rsid w:val="00F64A70"/>
    <w:pPr>
      <w:spacing w:after="100"/>
      <w:ind w:left="220"/>
    </w:pPr>
  </w:style>
  <w:style w:type="paragraph" w:styleId="Tabladeilustraciones">
    <w:name w:val="table of figures"/>
    <w:basedOn w:val="Normal"/>
    <w:next w:val="Normal"/>
    <w:uiPriority w:val="99"/>
    <w:unhideWhenUsed w:val="1"/>
    <w:rsid w:val="00596C2D"/>
  </w:style>
  <w:style w:type="table" w:styleId="a" w:customStyle="1">
    <w:basedOn w:val="TableNormal3"/>
    <w:tblPr>
      <w:tblStyleRowBandSize w:val="1"/>
      <w:tblStyleColBandSize w:val="1"/>
      <w:tblCellMar>
        <w:top w:w="100.0" w:type="dxa"/>
        <w:left w:w="100.0" w:type="dxa"/>
        <w:bottom w:w="100.0" w:type="dxa"/>
        <w:right w:w="100.0" w:type="dxa"/>
      </w:tblCellMar>
    </w:tblPr>
  </w:style>
  <w:style w:type="table" w:styleId="a0" w:customStyle="1">
    <w:basedOn w:val="TableNormal3"/>
    <w:rPr>
      <w:sz w:val="20"/>
      <w:szCs w:val="20"/>
    </w:rPr>
    <w:tblPr>
      <w:tblStyleRowBandSize w:val="1"/>
      <w:tblStyleColBandSize w:val="1"/>
      <w:tblCellMar>
        <w:left w:w="108.0" w:type="dxa"/>
        <w:right w:w="108.0" w:type="dxa"/>
      </w:tblCellMar>
    </w:tblPr>
  </w:style>
  <w:style w:type="table" w:styleId="a1" w:customStyle="1">
    <w:basedOn w:val="TableNormal3"/>
    <w:tblPr>
      <w:tblStyleRowBandSize w:val="1"/>
      <w:tblStyleColBandSize w:val="1"/>
      <w:tblCellMar>
        <w:left w:w="70.0" w:type="dxa"/>
        <w:right w:w="70.0" w:type="dxa"/>
      </w:tblCellMar>
    </w:tblPr>
  </w:style>
  <w:style w:type="table" w:styleId="a2" w:customStyle="1">
    <w:basedOn w:val="TableNormal3"/>
    <w:rPr>
      <w:sz w:val="20"/>
      <w:szCs w:val="20"/>
    </w:rPr>
    <w:tblPr>
      <w:tblStyleRowBandSize w:val="1"/>
      <w:tblStyleColBandSize w:val="1"/>
      <w:tblCellMar>
        <w:left w:w="108.0" w:type="dxa"/>
        <w:right w:w="108.0" w:type="dxa"/>
      </w:tblCellMar>
    </w:tblPr>
  </w:style>
  <w:style w:type="table" w:styleId="a3" w:customStyle="1">
    <w:basedOn w:val="TableNormal3"/>
    <w:rPr>
      <w:sz w:val="20"/>
      <w:szCs w:val="20"/>
    </w:rPr>
    <w:tblPr>
      <w:tblStyleRowBandSize w:val="1"/>
      <w:tblStyleColBandSize w:val="1"/>
      <w:tblCellMar>
        <w:left w:w="108.0" w:type="dxa"/>
        <w:right w:w="108.0" w:type="dxa"/>
      </w:tblCellMar>
    </w:tblPr>
  </w:style>
  <w:style w:type="table" w:styleId="a4" w:customStyle="1">
    <w:basedOn w:val="TableNormal3"/>
    <w:rPr>
      <w:sz w:val="20"/>
      <w:szCs w:val="20"/>
    </w:rPr>
    <w:tblPr>
      <w:tblStyleRowBandSize w:val="1"/>
      <w:tblStyleColBandSize w:val="1"/>
      <w:tblCellMar>
        <w:left w:w="108.0" w:type="dxa"/>
        <w:right w:w="108.0" w:type="dxa"/>
      </w:tblCellMar>
    </w:tblPr>
  </w:style>
  <w:style w:type="table" w:styleId="a5" w:customStyle="1">
    <w:basedOn w:val="TableNormal3"/>
    <w:rPr>
      <w:sz w:val="20"/>
      <w:szCs w:val="20"/>
    </w:rPr>
    <w:tblPr>
      <w:tblStyleRowBandSize w:val="1"/>
      <w:tblStyleColBandSize w:val="1"/>
      <w:tblCellMar>
        <w:left w:w="108.0" w:type="dxa"/>
        <w:right w:w="108.0" w:type="dxa"/>
      </w:tblCellMar>
    </w:tblPr>
  </w:style>
  <w:style w:type="table" w:styleId="a6" w:customStyle="1">
    <w:basedOn w:val="TableNormal3"/>
    <w:rPr>
      <w:sz w:val="20"/>
      <w:szCs w:val="20"/>
    </w:rPr>
    <w:tblPr>
      <w:tblStyleRowBandSize w:val="1"/>
      <w:tblStyleColBandSize w:val="1"/>
      <w:tblCellMar>
        <w:left w:w="108.0" w:type="dxa"/>
        <w:right w:w="108.0" w:type="dxa"/>
      </w:tblCellMar>
    </w:tblPr>
  </w:style>
  <w:style w:type="table" w:styleId="a7" w:customStyle="1">
    <w:basedOn w:val="TableNormal3"/>
    <w:tblPr>
      <w:tblStyleRowBandSize w:val="1"/>
      <w:tblStyleColBandSize w:val="1"/>
      <w:tblCellMar>
        <w:left w:w="70.0" w:type="dxa"/>
        <w:right w:w="70.0" w:type="dxa"/>
      </w:tblCellMar>
    </w:tblPr>
  </w:style>
  <w:style w:type="table" w:styleId="a8" w:customStyle="1">
    <w:basedOn w:val="TableNormal3"/>
    <w:tblPr>
      <w:tblStyleRowBandSize w:val="1"/>
      <w:tblStyleColBandSize w:val="1"/>
      <w:tblCellMar>
        <w:left w:w="70.0" w:type="dxa"/>
        <w:right w:w="70.0" w:type="dxa"/>
      </w:tblCellMar>
    </w:tblPr>
  </w:style>
  <w:style w:type="table" w:styleId="a9" w:customStyle="1">
    <w:basedOn w:val="TableNormal3"/>
    <w:tblPr>
      <w:tblStyleRowBandSize w:val="1"/>
      <w:tblStyleColBandSize w:val="1"/>
      <w:tblCellMar>
        <w:left w:w="70.0" w:type="dxa"/>
        <w:right w:w="70.0" w:type="dxa"/>
      </w:tblCellMar>
    </w:tblPr>
  </w:style>
  <w:style w:type="table" w:styleId="aa" w:customStyle="1">
    <w:basedOn w:val="TableNormal3"/>
    <w:tblPr>
      <w:tblStyleRowBandSize w:val="1"/>
      <w:tblStyleColBandSize w:val="1"/>
      <w:tblCellMar>
        <w:left w:w="70.0" w:type="dxa"/>
        <w:right w:w="70.0" w:type="dxa"/>
      </w:tblCellMar>
    </w:tblPr>
  </w:style>
  <w:style w:type="table" w:styleId="ab" w:customStyle="1">
    <w:basedOn w:val="TableNormal3"/>
    <w:tblPr>
      <w:tblStyleRowBandSize w:val="1"/>
      <w:tblStyleColBandSize w:val="1"/>
      <w:tblCellMar>
        <w:left w:w="70.0" w:type="dxa"/>
        <w:right w:w="70.0" w:type="dxa"/>
      </w:tblCellMar>
    </w:tblPr>
  </w:style>
  <w:style w:type="table" w:styleId="ac" w:customStyle="1">
    <w:basedOn w:val="TableNormal3"/>
    <w:tblPr>
      <w:tblStyleRowBandSize w:val="1"/>
      <w:tblStyleColBandSize w:val="1"/>
      <w:tblCellMar>
        <w:left w:w="70.0" w:type="dxa"/>
        <w:right w:w="70.0" w:type="dxa"/>
      </w:tblCellMar>
    </w:tblPr>
  </w:style>
  <w:style w:type="table" w:styleId="ad" w:customStyle="1">
    <w:basedOn w:val="TableNormal3"/>
    <w:tblPr>
      <w:tblStyleRowBandSize w:val="1"/>
      <w:tblStyleColBandSize w:val="1"/>
      <w:tblCellMar>
        <w:left w:w="70.0" w:type="dxa"/>
        <w:right w:w="70.0" w:type="dxa"/>
      </w:tblCellMar>
    </w:tblPr>
  </w:style>
  <w:style w:type="table" w:styleId="ae" w:customStyle="1">
    <w:basedOn w:val="TableNormal3"/>
    <w:rPr>
      <w:sz w:val="20"/>
      <w:szCs w:val="20"/>
    </w:rPr>
    <w:tblPr>
      <w:tblStyleRowBandSize w:val="1"/>
      <w:tblStyleColBandSize w:val="1"/>
      <w:tblCellMar>
        <w:left w:w="108.0" w:type="dxa"/>
        <w:right w:w="108.0" w:type="dxa"/>
      </w:tblCellMar>
    </w:tblPr>
  </w:style>
  <w:style w:type="table" w:styleId="af" w:customStyle="1">
    <w:basedOn w:val="TableNormal3"/>
    <w:rPr>
      <w:sz w:val="20"/>
      <w:szCs w:val="20"/>
    </w:rPr>
    <w:tblPr>
      <w:tblStyleRowBandSize w:val="1"/>
      <w:tblStyleColBandSize w:val="1"/>
      <w:tblCellMar>
        <w:left w:w="108.0" w:type="dxa"/>
        <w:right w:w="108.0" w:type="dxa"/>
      </w:tblCellMar>
    </w:tblPr>
  </w:style>
  <w:style w:type="table" w:styleId="af0" w:customStyle="1">
    <w:basedOn w:val="TableNormal3"/>
    <w:rPr>
      <w:sz w:val="20"/>
      <w:szCs w:val="20"/>
    </w:rPr>
    <w:tblPr>
      <w:tblStyleRowBandSize w:val="1"/>
      <w:tblStyleColBandSize w:val="1"/>
      <w:tblCellMar>
        <w:left w:w="108.0" w:type="dxa"/>
        <w:right w:w="108.0" w:type="dxa"/>
      </w:tblCellMar>
    </w:tblPr>
  </w:style>
  <w:style w:type="table" w:styleId="af1" w:customStyle="1">
    <w:basedOn w:val="TableNormal3"/>
    <w:rPr>
      <w:sz w:val="20"/>
      <w:szCs w:val="20"/>
    </w:rPr>
    <w:tblPr>
      <w:tblStyleRowBandSize w:val="1"/>
      <w:tblStyleColBandSize w:val="1"/>
      <w:tblCellMar>
        <w:left w:w="108.0" w:type="dxa"/>
        <w:right w:w="108.0" w:type="dxa"/>
      </w:tblCellMar>
    </w:tblPr>
  </w:style>
  <w:style w:type="table" w:styleId="af2" w:customStyle="1">
    <w:basedOn w:val="TableNormal3"/>
    <w:rPr>
      <w:sz w:val="20"/>
      <w:szCs w:val="20"/>
    </w:rPr>
    <w:tblPr>
      <w:tblStyleRowBandSize w:val="1"/>
      <w:tblStyleColBandSize w:val="1"/>
      <w:tblCellMar>
        <w:left w:w="108.0" w:type="dxa"/>
        <w:right w:w="108.0" w:type="dxa"/>
      </w:tblCellMar>
    </w:tblPr>
  </w:style>
  <w:style w:type="table" w:styleId="af3" w:customStyle="1">
    <w:basedOn w:val="TableNormal3"/>
    <w:rPr>
      <w:sz w:val="20"/>
      <w:szCs w:val="20"/>
    </w:rPr>
    <w:tblPr>
      <w:tblStyleRowBandSize w:val="1"/>
      <w:tblStyleColBandSize w:val="1"/>
      <w:tblCellMar>
        <w:left w:w="108.0" w:type="dxa"/>
        <w:right w:w="108.0" w:type="dxa"/>
      </w:tblCellMar>
    </w:tblPr>
  </w:style>
  <w:style w:type="table" w:styleId="af4" w:customStyle="1">
    <w:basedOn w:val="TableNormal3"/>
    <w:rPr>
      <w:sz w:val="20"/>
      <w:szCs w:val="20"/>
    </w:rPr>
    <w:tblPr>
      <w:tblStyleRowBandSize w:val="1"/>
      <w:tblStyleColBandSize w:val="1"/>
      <w:tblCellMar>
        <w:left w:w="108.0" w:type="dxa"/>
        <w:right w:w="108.0" w:type="dxa"/>
      </w:tblCellMar>
    </w:tblPr>
  </w:style>
  <w:style w:type="table" w:styleId="af5" w:customStyle="1">
    <w:basedOn w:val="TableNormal3"/>
    <w:rPr>
      <w:sz w:val="20"/>
      <w:szCs w:val="20"/>
    </w:rPr>
    <w:tblPr>
      <w:tblStyleRowBandSize w:val="1"/>
      <w:tblStyleColBandSize w:val="1"/>
      <w:tblCellMar>
        <w:left w:w="108.0" w:type="dxa"/>
        <w:right w:w="108.0" w:type="dxa"/>
      </w:tblCellMar>
    </w:tblPr>
  </w:style>
  <w:style w:type="table" w:styleId="af6" w:customStyle="1">
    <w:basedOn w:val="TableNormal3"/>
    <w:rPr>
      <w:sz w:val="20"/>
      <w:szCs w:val="20"/>
    </w:rPr>
    <w:tblPr>
      <w:tblStyleRowBandSize w:val="1"/>
      <w:tblStyleColBandSize w:val="1"/>
      <w:tblCellMar>
        <w:left w:w="108.0" w:type="dxa"/>
        <w:right w:w="108.0" w:type="dxa"/>
      </w:tblCellMar>
    </w:tblPr>
  </w:style>
  <w:style w:type="table" w:styleId="af7" w:customStyle="1">
    <w:basedOn w:val="TableNormal3"/>
    <w:rPr>
      <w:sz w:val="20"/>
      <w:szCs w:val="20"/>
    </w:rPr>
    <w:tblPr>
      <w:tblStyleRowBandSize w:val="1"/>
      <w:tblStyleColBandSize w:val="1"/>
      <w:tblCellMar>
        <w:left w:w="108.0" w:type="dxa"/>
        <w:right w:w="108.0" w:type="dxa"/>
      </w:tblCellMar>
    </w:tblPr>
  </w:style>
  <w:style w:type="table" w:styleId="af8" w:customStyle="1">
    <w:basedOn w:val="TableNormal3"/>
    <w:tblPr>
      <w:tblStyleRowBandSize w:val="1"/>
      <w:tblStyleColBandSize w:val="1"/>
      <w:tblCellMar>
        <w:top w:w="100.0" w:type="dxa"/>
        <w:left w:w="100.0" w:type="dxa"/>
        <w:bottom w:w="100.0" w:type="dxa"/>
        <w:right w:w="100.0" w:type="dxa"/>
      </w:tblCellMar>
    </w:tblPr>
  </w:style>
  <w:style w:type="table" w:styleId="af9" w:customStyle="1">
    <w:basedOn w:val="TableNormal1"/>
    <w:rPr>
      <w:sz w:val="20"/>
      <w:szCs w:val="20"/>
    </w:rPr>
    <w:tblPr>
      <w:tblStyleRowBandSize w:val="1"/>
      <w:tblStyleColBandSize w:val="1"/>
      <w:tblCellMar>
        <w:top w:w="100.0" w:type="dxa"/>
        <w:left w:w="100.0" w:type="dxa"/>
        <w:bottom w:w="100.0" w:type="dxa"/>
        <w:right w:w="100.0" w:type="dxa"/>
      </w:tblCellMar>
    </w:tblPr>
  </w:style>
  <w:style w:type="table" w:styleId="afa" w:customStyle="1">
    <w:basedOn w:val="TableNormal1"/>
    <w:rPr>
      <w:sz w:val="20"/>
      <w:szCs w:val="20"/>
    </w:rPr>
    <w:tblPr>
      <w:tblStyleRowBandSize w:val="1"/>
      <w:tblStyleColBandSize w:val="1"/>
      <w:tblCellMar>
        <w:top w:w="100.0" w:type="dxa"/>
        <w:left w:w="100.0" w:type="dxa"/>
        <w:bottom w:w="100.0" w:type="dxa"/>
        <w:right w:w="100.0" w:type="dxa"/>
      </w:tblCellMar>
    </w:tblPr>
  </w:style>
  <w:style w:type="table" w:styleId="afb" w:customStyle="1">
    <w:basedOn w:val="TableNormal1"/>
    <w:tblPr>
      <w:tblStyleRowBandSize w:val="1"/>
      <w:tblStyleColBandSize w:val="1"/>
      <w:tblCellMar>
        <w:top w:w="100.0" w:type="dxa"/>
        <w:left w:w="100.0" w:type="dxa"/>
        <w:bottom w:w="100.0" w:type="dxa"/>
        <w:right w:w="100.0" w:type="dxa"/>
      </w:tblCellMar>
    </w:tblPr>
  </w:style>
  <w:style w:type="table" w:styleId="afc" w:customStyle="1">
    <w:basedOn w:val="TableNormal1"/>
    <w:tblPr>
      <w:tblStyleRowBandSize w:val="1"/>
      <w:tblStyleColBandSize w:val="1"/>
      <w:tblCellMar>
        <w:top w:w="100.0" w:type="dxa"/>
        <w:left w:w="100.0" w:type="dxa"/>
        <w:bottom w:w="100.0" w:type="dxa"/>
        <w:right w:w="100.0" w:type="dxa"/>
      </w:tblCellMar>
    </w:tblPr>
  </w:style>
  <w:style w:type="table" w:styleId="afd" w:customStyle="1">
    <w:basedOn w:val="TableNormal1"/>
    <w:tblPr>
      <w:tblStyleRowBandSize w:val="1"/>
      <w:tblStyleColBandSize w:val="1"/>
      <w:tblCellMar>
        <w:top w:w="100.0" w:type="dxa"/>
        <w:left w:w="100.0" w:type="dxa"/>
        <w:bottom w:w="100.0" w:type="dxa"/>
        <w:right w:w="100.0" w:type="dxa"/>
      </w:tblCellMar>
    </w:tblPr>
  </w:style>
  <w:style w:type="table" w:styleId="afe" w:customStyle="1">
    <w:basedOn w:val="TableNormal1"/>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sA3L9NyBI+xht+So6VNhn2Jw1Q==">AMUW2mXoKsK1nx0VJuuCo1QO6Gf6rcgN2C4wgTgCzkNEoConJtCXafxE0kXfzJ/ZMVfgeebzX66mxffnyaNJS5+w9HSj8UQArXvhKi4oJ2VTO2GYgGPqn0kVWs/tkkMU8FFwb6iI9fpmLgy2KMUfDovQMHP1miHfFEv9YzzQ12UO3nNUZDlqi74=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2022-10-23T21:14:00Z</dcterms:created>
  <dc:creator>Ecos Chile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-1578966238</vt:i4>
  </property>
</Properties>
</file>